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1040D" w14:textId="77777777" w:rsidR="0078797F" w:rsidRDefault="0078797F" w:rsidP="008E43D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bookmarkStart w:id="0" w:name="Articolul_49."/>
    </w:p>
    <w:p w14:paraId="2F3A08EB" w14:textId="63387EB0" w:rsidR="008E43D6" w:rsidRDefault="006E2FC1" w:rsidP="0078797F">
      <w:pPr>
        <w:tabs>
          <w:tab w:val="left" w:pos="3261"/>
          <w:tab w:val="left" w:pos="3828"/>
        </w:tabs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  <w:r w:rsidRPr="00E05A2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>Notă informativă</w:t>
      </w:r>
    </w:p>
    <w:p w14:paraId="6B8AF868" w14:textId="5911BE0E" w:rsidR="00AE38C4" w:rsidRDefault="007F5C99" w:rsidP="008C32A3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5A2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 </w:t>
      </w:r>
      <w:r w:rsidR="006E2FC1" w:rsidRPr="00E05A25"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  <w:t xml:space="preserve">la proiectul </w:t>
      </w:r>
      <w:r w:rsidR="00962EB1" w:rsidRPr="00E05A25">
        <w:rPr>
          <w:rFonts w:ascii="Times New Roman" w:hAnsi="Times New Roman" w:cs="Times New Roman"/>
          <w:b/>
          <w:sz w:val="26"/>
          <w:szCs w:val="26"/>
        </w:rPr>
        <w:t>Codului rețelelor de gaze naturale</w:t>
      </w:r>
    </w:p>
    <w:p w14:paraId="18B4FB07" w14:textId="77777777" w:rsidR="00D656D9" w:rsidRPr="00E05A25" w:rsidRDefault="00D656D9" w:rsidP="008C32A3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o-RO"/>
        </w:rPr>
      </w:pPr>
    </w:p>
    <w:tbl>
      <w:tblPr>
        <w:tblW w:w="522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7A114E" w:rsidRPr="00E05A25" w14:paraId="3DAAD41E" w14:textId="77777777" w:rsidTr="00A756E7">
        <w:trPr>
          <w:trHeight w:val="278"/>
        </w:trPr>
        <w:tc>
          <w:tcPr>
            <w:tcW w:w="5000" w:type="pct"/>
          </w:tcPr>
          <w:bookmarkEnd w:id="0"/>
          <w:p w14:paraId="259E1C27" w14:textId="506870D5" w:rsidR="007A114E" w:rsidRPr="008E43D6" w:rsidRDefault="007A114E" w:rsidP="00DE5D59">
            <w:pPr>
              <w:numPr>
                <w:ilvl w:val="3"/>
                <w:numId w:val="16"/>
              </w:numPr>
              <w:tabs>
                <w:tab w:val="left" w:pos="284"/>
                <w:tab w:val="left" w:pos="603"/>
              </w:tabs>
              <w:suppressAutoHyphens/>
              <w:spacing w:after="0" w:line="240" w:lineRule="auto"/>
              <w:ind w:hanging="253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ro-RO"/>
              </w:rPr>
              <w:t xml:space="preserve"> 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Denumirea autorului responsabil de elaborarea proiectului</w:t>
            </w:r>
          </w:p>
        </w:tc>
      </w:tr>
      <w:tr w:rsidR="007A114E" w:rsidRPr="00E05A25" w14:paraId="3813BCE1" w14:textId="77777777" w:rsidTr="00A756E7">
        <w:trPr>
          <w:trHeight w:val="351"/>
        </w:trPr>
        <w:tc>
          <w:tcPr>
            <w:tcW w:w="5000" w:type="pct"/>
          </w:tcPr>
          <w:p w14:paraId="5D985578" w14:textId="727B95DD" w:rsidR="007A114E" w:rsidRPr="008E43D6" w:rsidRDefault="007A114E" w:rsidP="0078797F">
            <w:pPr>
              <w:tabs>
                <w:tab w:val="left" w:pos="884"/>
                <w:tab w:val="left" w:pos="1196"/>
              </w:tabs>
              <w:suppressAutoHyphens/>
              <w:spacing w:after="0"/>
              <w:ind w:firstLine="4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797F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Agenția Națională pentru Reglementare în Energetică</w:t>
            </w:r>
          </w:p>
        </w:tc>
      </w:tr>
      <w:tr w:rsidR="007A114E" w:rsidRPr="00E05A25" w14:paraId="3E774FA0" w14:textId="77777777" w:rsidTr="00A756E7">
        <w:trPr>
          <w:trHeight w:val="375"/>
        </w:trPr>
        <w:tc>
          <w:tcPr>
            <w:tcW w:w="5000" w:type="pct"/>
          </w:tcPr>
          <w:p w14:paraId="6841C6DF" w14:textId="0A313081" w:rsidR="007A114E" w:rsidRPr="008E43D6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2. </w:t>
            </w:r>
            <w:r w:rsidR="0078797F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Condiţiile ce au impus elaborarea proiectului de act normativ şi </w:t>
            </w:r>
            <w:r w:rsidR="009E10D3"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finalitățile</w:t>
            </w: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urmărite</w:t>
            </w:r>
          </w:p>
        </w:tc>
      </w:tr>
      <w:tr w:rsidR="007A114E" w:rsidRPr="00E05A25" w14:paraId="690A49B5" w14:textId="77777777" w:rsidTr="00A756E7">
        <w:trPr>
          <w:trHeight w:val="8644"/>
        </w:trPr>
        <w:tc>
          <w:tcPr>
            <w:tcW w:w="5000" w:type="pct"/>
          </w:tcPr>
          <w:p w14:paraId="0A2DADCC" w14:textId="5402178A" w:rsidR="00AE6001" w:rsidRPr="00AE6001" w:rsidRDefault="00916950" w:rsidP="00A756E7">
            <w:pPr>
              <w:spacing w:after="0" w:line="240" w:lineRule="auto"/>
              <w:ind w:right="18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În conformitate cu </w:t>
            </w:r>
            <w:r w:rsidRPr="00AE60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art. 67 alin. (1) </w:t>
            </w:r>
            <w:r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din</w:t>
            </w:r>
            <w:r w:rsidRPr="00AE60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ea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cu privire la gazele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naturale nr. 108 din 27.05.2016</w:t>
            </w:r>
            <w:r w:rsidR="00242032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(în continuare – Legea nr. 108/2016)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, </w:t>
            </w:r>
            <w:r w:rsidR="00A9749B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„</w:t>
            </w:r>
            <w:r w:rsidR="0063315D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Î</w:t>
            </w:r>
            <w:r w:rsidR="00AE6001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n scopul asigurării şi gestionării unui acces eficient şi transparent la reţelele de gaze naturale, inclusiv în legătură cu </w:t>
            </w:r>
            <w:r w:rsidR="005C6A65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tranzacțiile</w:t>
            </w:r>
            <w:r w:rsidR="00AE6001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transfrontaliere, exploatarea reţelelor de gaze naturale se efectuează în conformitate cu Codul reţelelor de gaze naturale</w:t>
            </w:r>
            <w:r w:rsidR="00A9749B" w:rsidRP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.”</w:t>
            </w:r>
          </w:p>
          <w:p w14:paraId="02E08B02" w14:textId="3D1CF105" w:rsidR="00916950" w:rsidRDefault="00916950" w:rsidP="00A756E7">
            <w:pPr>
              <w:spacing w:after="0" w:line="240" w:lineRule="auto"/>
              <w:ind w:right="181" w:firstLine="5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Î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n termen de cel mult 6 luni de la primirea notificării din partea Agenției cu privire la preluarea de către Comunitatea Energetică</w:t>
            </w:r>
            <w:r w:rsidR="00096E7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(EnC)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 Codului rețelelor de gaze naturale al Uniunii Europene, operatorul sistemului de transport</w:t>
            </w:r>
            <w:r w:rsidR="00242032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(în continuare OST)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desemnat de ANRE este obligat să elaboreze și să prezinte Agenției pentru aprobare Co</w:t>
            </w:r>
            <w:r w:rsidR="0063315D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dul rețelelor de gaze naturale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 w:rsidRPr="00CC13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art. 114 alin. (10) </w:t>
            </w:r>
            <w:r w:rsidRPr="00A9749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din Legea nr. 108/2016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).</w:t>
            </w:r>
          </w:p>
          <w:p w14:paraId="67BD7528" w14:textId="1C36E30B" w:rsidR="001A110C" w:rsidRPr="00CC1393" w:rsidRDefault="00242032" w:rsidP="00A756E7">
            <w:pPr>
              <w:tabs>
                <w:tab w:val="left" w:pos="690"/>
              </w:tabs>
              <w:spacing w:after="0" w:line="240" w:lineRule="auto"/>
              <w:ind w:left="46" w:right="181" w:firstLine="599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Agenția are obligația să transpună</w:t>
            </w:r>
            <w:r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în legislația națională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următoarele R</w:t>
            </w:r>
            <w:r w:rsidR="0063315D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gulamente UE adaptate prin D</w:t>
            </w:r>
            <w:r w:rsidR="003E03A9"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ecizii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le</w:t>
            </w:r>
            <w:r w:rsidR="003E03A9"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Grupului permanent de Nivel Înalt (PHLG) al Comunității Energetice</w:t>
            </w:r>
            <w:r w:rsidR="001A110C" w:rsidRPr="00CC139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: </w:t>
            </w:r>
          </w:p>
          <w:p w14:paraId="5D8DF767" w14:textId="4D98F1ED" w:rsidR="001A110C" w:rsidRPr="0063315D" w:rsidRDefault="00436879" w:rsidP="0063315D">
            <w:pPr>
              <w:pStyle w:val="ListParagraph"/>
              <w:numPr>
                <w:ilvl w:val="0"/>
                <w:numId w:val="46"/>
              </w:numPr>
              <w:tabs>
                <w:tab w:val="left" w:pos="881"/>
              </w:tabs>
              <w:spacing w:after="0" w:line="240" w:lineRule="auto"/>
              <w:ind w:left="30" w:right="18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</w:pPr>
            <w:r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>Regulamentul (UE) 2015/703 privind stabilirea unui Cod de rețea privind interoperabilitatea și schimbul de date</w:t>
            </w:r>
            <w:r w:rsidR="0080007E"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 xml:space="preserve"> (IO)</w:t>
            </w:r>
            <w:r w:rsidR="001A110C"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>;</w:t>
            </w:r>
          </w:p>
          <w:p w14:paraId="38F03101" w14:textId="2278D504" w:rsidR="001A110C" w:rsidRPr="0063315D" w:rsidRDefault="00436879" w:rsidP="0063315D">
            <w:pPr>
              <w:pStyle w:val="ListParagraph"/>
              <w:numPr>
                <w:ilvl w:val="0"/>
                <w:numId w:val="46"/>
              </w:numPr>
              <w:tabs>
                <w:tab w:val="left" w:pos="881"/>
              </w:tabs>
              <w:spacing w:after="0" w:line="240" w:lineRule="auto"/>
              <w:ind w:left="30" w:right="18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</w:pPr>
            <w:r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>Regulamentul (UE) 2017/459 al Comisiei privind stabilirea unui Cod al rețelei privind mecanismul de alocare a capacității în sistemele de transport al gazelor naturale</w:t>
            </w:r>
            <w:r w:rsidR="0080007E"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 xml:space="preserve"> (CAM)</w:t>
            </w:r>
            <w:r w:rsidR="001A110C"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>;</w:t>
            </w:r>
            <w:r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 xml:space="preserve"> </w:t>
            </w:r>
          </w:p>
          <w:p w14:paraId="156F33C8" w14:textId="75A20220" w:rsidR="00436879" w:rsidRPr="0063315D" w:rsidRDefault="00436879" w:rsidP="0063315D">
            <w:pPr>
              <w:pStyle w:val="ListParagraph"/>
              <w:numPr>
                <w:ilvl w:val="0"/>
                <w:numId w:val="46"/>
              </w:numPr>
              <w:tabs>
                <w:tab w:val="left" w:pos="881"/>
              </w:tabs>
              <w:spacing w:after="0" w:line="240" w:lineRule="auto"/>
              <w:ind w:left="30" w:right="181" w:firstLine="567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</w:pPr>
            <w:r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>Regulamentul (UE) 2017/460 al Comisiei din 16 martie 2017 de stabilire a unui Cod al rețelei privind structurile tarifare armonizate pentru transportul gazelor naturale</w:t>
            </w:r>
            <w:r w:rsidR="0080007E"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 xml:space="preserve"> (TAR)</w:t>
            </w:r>
            <w:r w:rsidR="00B763B4" w:rsidRPr="006331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MD"/>
              </w:rPr>
              <w:t>.</w:t>
            </w:r>
          </w:p>
          <w:p w14:paraId="4B7EFA71" w14:textId="480E7CD5" w:rsidR="0078797F" w:rsidRDefault="0028244A" w:rsidP="00633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  <w:tab w:val="left" w:pos="881"/>
              </w:tabs>
              <w:spacing w:after="0" w:line="240" w:lineRule="auto"/>
              <w:ind w:left="30" w:right="181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44A">
              <w:rPr>
                <w:rFonts w:ascii="Times New Roman" w:hAnsi="Times New Roman" w:cs="Times New Roman"/>
                <w:sz w:val="24"/>
                <w:szCs w:val="24"/>
              </w:rPr>
              <w:t xml:space="preserve">Finalitatea urmărită prin elaborarea proiectului </w:t>
            </w:r>
            <w:r w:rsidR="00C16645">
              <w:rPr>
                <w:rFonts w:ascii="Times New Roman" w:hAnsi="Times New Roman" w:cs="Times New Roman"/>
                <w:sz w:val="24"/>
                <w:szCs w:val="24"/>
              </w:rPr>
              <w:t xml:space="preserve">Codului rețelelor de gaze naturale </w:t>
            </w:r>
            <w:r w:rsidRPr="0028244A">
              <w:rPr>
                <w:rFonts w:ascii="Times New Roman" w:hAnsi="Times New Roman" w:cs="Times New Roman"/>
                <w:sz w:val="24"/>
                <w:szCs w:val="24"/>
              </w:rPr>
              <w:t>și adoptarea lui ulterioar</w:t>
            </w:r>
            <w:r w:rsidR="00C16645">
              <w:rPr>
                <w:rFonts w:ascii="Times New Roman" w:hAnsi="Times New Roman" w:cs="Times New Roman"/>
                <w:sz w:val="24"/>
                <w:szCs w:val="24"/>
              </w:rPr>
              <w:t xml:space="preserve">ă </w:t>
            </w:r>
            <w:r w:rsidRPr="0028244A">
              <w:rPr>
                <w:rFonts w:ascii="Times New Roman" w:hAnsi="Times New Roman" w:cs="Times New Roman"/>
                <w:sz w:val="24"/>
                <w:szCs w:val="24"/>
              </w:rPr>
              <w:t>constituie</w:t>
            </w:r>
            <w:r w:rsidR="007879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E7554C2" w14:textId="62F82C3E" w:rsidR="0078797F" w:rsidRPr="00C16645" w:rsidRDefault="0078797F" w:rsidP="0063315D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respectarea angajamentelor Republici Moldova în calitate de </w:t>
            </w:r>
            <w:r w:rsidR="00096E7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stat </w:t>
            </w:r>
            <w:r w:rsidR="0063315D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Parte C</w:t>
            </w:r>
            <w:r w:rsidR="00096E7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ontractantă a EnC</w:t>
            </w: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;</w:t>
            </w:r>
          </w:p>
          <w:p w14:paraId="4DC91FB4" w14:textId="13ADBDB7" w:rsidR="00C16645" w:rsidRPr="00C16645" w:rsidRDefault="00C16645" w:rsidP="0063315D">
            <w:pPr>
              <w:pStyle w:val="ListParagraph"/>
              <w:numPr>
                <w:ilvl w:val="0"/>
                <w:numId w:val="44"/>
              </w:numPr>
              <w:tabs>
                <w:tab w:val="left" w:pos="690"/>
                <w:tab w:val="left" w:pos="882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asigurarea şi gestionarea unui acces eficient şi transparent la reţelele de gaze naturale, inclusiv în legătură cu </w:t>
            </w:r>
            <w:r w:rsidR="005C6A65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tranzacțiile</w:t>
            </w: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transfrontaliere; </w:t>
            </w:r>
          </w:p>
          <w:p w14:paraId="60F66BE2" w14:textId="528C9BA3" w:rsidR="007D3683" w:rsidRDefault="007D3683" w:rsidP="0063315D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asigurarea cadrului normativ ce ține de 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exploat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area 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în siguranță a sistemului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transport și de distribuție al gazelor naturale;</w:t>
            </w:r>
          </w:p>
          <w:p w14:paraId="30D79F5E" w14:textId="339546A9" w:rsidR="00C16645" w:rsidRPr="00C16645" w:rsidRDefault="0028244A" w:rsidP="0063315D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instituirea unor </w:t>
            </w:r>
            <w:r w:rsidR="000D250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proceduri</w:t>
            </w:r>
            <w:r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78797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unice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care vor</w:t>
            </w:r>
            <w:r w:rsidR="007068DD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asigur</w:t>
            </w:r>
            <w:r w:rsidR="00C47A4A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</w:t>
            </w:r>
            <w:r w:rsidR="007068DD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cooperarea dintre operatorii de sistem din RM și operatorii de sistem din </w:t>
            </w:r>
            <w:r w:rsidR="00C47A4A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țările vecine</w:t>
            </w:r>
            <w:r w:rsidR="00F12A49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la capitolul</w:t>
            </w:r>
            <w:r w:rsidR="00096E7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7D3683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interoperabilitatea</w:t>
            </w:r>
            <w:r w:rsidR="007D368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și</w:t>
            </w:r>
            <w:r w:rsidR="007D3683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7D3683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schimbului de date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.</w:t>
            </w:r>
          </w:p>
          <w:p w14:paraId="5BCB614A" w14:textId="772BA9FC" w:rsidR="00C16645" w:rsidRPr="00C16645" w:rsidRDefault="00A9749B" w:rsidP="0063315D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</w:t>
            </w:r>
            <w:r w:rsidR="001031C1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eglementarea 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proceduri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lor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de alocare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 capacității la punctele de interconectare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;</w:t>
            </w:r>
          </w:p>
          <w:p w14:paraId="0813D4EF" w14:textId="7EDE051D" w:rsidR="007068DD" w:rsidRPr="00C16645" w:rsidRDefault="001031C1" w:rsidP="0063315D">
            <w:pPr>
              <w:pStyle w:val="ListParagraph"/>
              <w:numPr>
                <w:ilvl w:val="0"/>
                <w:numId w:val="4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0"/>
                <w:tab w:val="left" w:pos="882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stabilirea normelor privind aplicarea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096E7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metodei 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prețului de referință în baza căreia vor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putea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fi calculate tarife</w:t>
            </w:r>
            <w:r w:rsid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le pentru serviciul de transport</w:t>
            </w:r>
            <w:r w:rsidR="005B2E1F" w:rsidRPr="00C1664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la punctele de intrare-ieșire din sistemul de transport al gazelor naturale.</w:t>
            </w:r>
          </w:p>
          <w:p w14:paraId="71190CBB" w14:textId="0E26F4D5" w:rsidR="007B6D52" w:rsidRPr="00D71188" w:rsidRDefault="005B2E1F" w:rsidP="00A756E7">
            <w:pPr>
              <w:spacing w:after="0" w:line="240" w:lineRule="auto"/>
              <w:ind w:right="181" w:firstLine="599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MD"/>
              </w:rPr>
            </w:pPr>
            <w:r>
              <w:rPr>
                <w:rFonts w:ascii="Times New Roman" w:hAnsi="Times New Roman" w:cs="Times New Roman"/>
                <w:sz w:val="24"/>
              </w:rPr>
              <w:t>Conform noilor</w:t>
            </w:r>
            <w:r w:rsidR="00D71188">
              <w:rPr>
                <w:rFonts w:ascii="Times New Roman" w:hAnsi="Times New Roman" w:cs="Times New Roman"/>
                <w:sz w:val="24"/>
              </w:rPr>
              <w:t xml:space="preserve"> prevederi,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>urmează a fi încheiate acorduri de inter</w:t>
            </w:r>
            <w:r w:rsidR="00D71188">
              <w:rPr>
                <w:rFonts w:ascii="Times New Roman" w:hAnsi="Times New Roman" w:cs="Times New Roman"/>
                <w:sz w:val="24"/>
              </w:rPr>
              <w:t xml:space="preserve">conectare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>între operatorii sistem</w:t>
            </w:r>
            <w:r w:rsidR="00A9749B">
              <w:rPr>
                <w:rFonts w:ascii="Times New Roman" w:hAnsi="Times New Roman" w:cs="Times New Roman"/>
                <w:sz w:val="24"/>
              </w:rPr>
              <w:t xml:space="preserve">elor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de transport din </w:t>
            </w:r>
            <w:r w:rsidR="00916950">
              <w:rPr>
                <w:rFonts w:ascii="Times New Roman" w:hAnsi="Times New Roman" w:cs="Times New Roman"/>
                <w:sz w:val="24"/>
              </w:rPr>
              <w:t xml:space="preserve">R. </w:t>
            </w:r>
            <w:r w:rsidR="00916950" w:rsidRPr="00AD174E">
              <w:rPr>
                <w:rFonts w:ascii="Times New Roman" w:hAnsi="Times New Roman" w:cs="Times New Roman"/>
                <w:sz w:val="24"/>
              </w:rPr>
              <w:t>Moldova</w:t>
            </w:r>
            <w:r w:rsidR="00916950">
              <w:rPr>
                <w:rFonts w:ascii="Times New Roman" w:hAnsi="Times New Roman" w:cs="Times New Roman"/>
                <w:sz w:val="24"/>
              </w:rPr>
              <w:t>, Ucraina sau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16950">
              <w:rPr>
                <w:rFonts w:ascii="Times New Roman" w:hAnsi="Times New Roman" w:cs="Times New Roman"/>
                <w:sz w:val="24"/>
              </w:rPr>
              <w:t>Rom</w:t>
            </w:r>
            <w:r w:rsidR="001031C1">
              <w:rPr>
                <w:rFonts w:ascii="Times New Roman" w:hAnsi="Times New Roman" w:cs="Times New Roman"/>
                <w:sz w:val="24"/>
              </w:rPr>
              <w:t>â</w:t>
            </w:r>
            <w:r w:rsidR="00916950">
              <w:rPr>
                <w:rFonts w:ascii="Times New Roman" w:hAnsi="Times New Roman" w:cs="Times New Roman"/>
                <w:sz w:val="24"/>
              </w:rPr>
              <w:t>nia</w:t>
            </w:r>
            <w:r w:rsidR="00D71188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adaptate la specificul și problemele </w:t>
            </w:r>
            <w:r w:rsidR="0062362C">
              <w:rPr>
                <w:rFonts w:ascii="Times New Roman" w:hAnsi="Times New Roman" w:cs="Times New Roman"/>
                <w:sz w:val="24"/>
              </w:rPr>
              <w:t xml:space="preserve">ce țin </w:t>
            </w:r>
            <w:r w:rsidR="00AD174E" w:rsidRPr="00AD174E">
              <w:rPr>
                <w:rFonts w:ascii="Times New Roman" w:hAnsi="Times New Roman" w:cs="Times New Roman"/>
                <w:sz w:val="24"/>
              </w:rPr>
              <w:t xml:space="preserve"> de infrastructura comună de transport al gazelor naturale.</w:t>
            </w:r>
          </w:p>
        </w:tc>
      </w:tr>
      <w:tr w:rsidR="007A114E" w:rsidRPr="00E05A25" w14:paraId="72E478DE" w14:textId="77777777" w:rsidTr="00A756E7">
        <w:trPr>
          <w:trHeight w:val="676"/>
        </w:trPr>
        <w:tc>
          <w:tcPr>
            <w:tcW w:w="5000" w:type="pct"/>
          </w:tcPr>
          <w:p w14:paraId="4ABA949F" w14:textId="5317E601" w:rsidR="007A114E" w:rsidRPr="008E43D6" w:rsidRDefault="00DE5D59" w:rsidP="00C550D2">
            <w:pPr>
              <w:pStyle w:val="ListParagraph"/>
              <w:numPr>
                <w:ilvl w:val="0"/>
                <w:numId w:val="33"/>
              </w:numPr>
              <w:tabs>
                <w:tab w:val="left" w:pos="641"/>
                <w:tab w:val="left" w:pos="1196"/>
              </w:tabs>
              <w:suppressAutoHyphens/>
              <w:spacing w:after="0" w:line="240" w:lineRule="auto"/>
              <w:ind w:left="74" w:firstLine="286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Descrierea gradului de compatibilitate pentru proiectele care au ca scop armonizarea </w:t>
            </w:r>
            <w:r w:rsidR="005C6A65"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legislației</w:t>
            </w:r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5C6A65"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naționale</w:t>
            </w:r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cu </w:t>
            </w:r>
            <w:r w:rsidR="005C6A65"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>legislația</w:t>
            </w:r>
            <w:r w:rsidRPr="008E43D6">
              <w:rPr>
                <w:rFonts w:ascii="Times New Roman" w:eastAsiaTheme="minorEastAsia" w:hAnsi="Times New Roman"/>
                <w:b/>
                <w:i/>
                <w:sz w:val="24"/>
                <w:szCs w:val="24"/>
                <w:lang w:eastAsia="ar-SA"/>
              </w:rPr>
              <w:t xml:space="preserve"> Uniunii Europene</w:t>
            </w:r>
          </w:p>
        </w:tc>
      </w:tr>
      <w:tr w:rsidR="00DE5D59" w:rsidRPr="00E05A25" w14:paraId="6633953D" w14:textId="77777777" w:rsidTr="00A756E7">
        <w:tc>
          <w:tcPr>
            <w:tcW w:w="5000" w:type="pct"/>
          </w:tcPr>
          <w:p w14:paraId="717568C7" w14:textId="0E791B51" w:rsidR="00D71188" w:rsidRPr="008E43D6" w:rsidRDefault="00D71188" w:rsidP="001031C1">
            <w:pPr>
              <w:spacing w:after="0" w:line="240" w:lineRule="auto"/>
              <w:ind w:right="180"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Codul rețelelor de gaze naturale 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transpune 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Regulamentul (CE) Nr. 703/2015 al Comisiei Europene din 30 aprilie 2015 de stabilire a unui cod de rețea pentru normele privind interoperabilitatea și schimbul de date, (Text cu relevanță pentru SEE) publicat în Jurnalul Oficial al Uniunii Europene (JO) nr. L 113/13 din 1 mai 2015, adaptat prin Decizia Nr. 2018/02/PHLG-EnC al </w:t>
            </w:r>
            <w:r w:rsidR="00916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PHLG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din 12 ianuarie 2018, Regulamentul (UE) Nr. 2017/459 al Comisiei din 16 martie 2017 de stabilire a unui cod al rețelei privind mecanismele de alocare a capacității în sistemele de transport al gazelor și de abrogare a Regulamentului (UE) nr. 984/2013 (Text cu relevanță pentru SEE) publicat în Jurnalul Oficial al Uniunii Europene L 72/1 din 17 martie2017, adaptat prin Decizia Nr. 2018/06/PHLG-EnC al </w:t>
            </w:r>
            <w:r w:rsidR="00916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PHLG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din 28 noiembrie 2018 și Regulamentul (UE) Nr. 2017/460 al Comisiei din 16 martie 2017 de stabilire a unui cod al rețelei privind structurile tarifare armonizate pentru transportul gazelor (Text cu relevanță 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pentru SEE) publicat în Jurnalul Oficial al Uniunii Europene L 72/29 din 17 martie 2017, adaptat prin Decizia Nr. 2018/07/PHLG-EnC al </w:t>
            </w:r>
            <w:r w:rsidR="009169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PHLG</w:t>
            </w:r>
            <w:r w:rsidRPr="008E43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din 28 noiembrie 2018.</w:t>
            </w:r>
          </w:p>
          <w:p w14:paraId="66BEC0ED" w14:textId="35839B4E" w:rsidR="00C47A4A" w:rsidRDefault="00055EC0" w:rsidP="0010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right="180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71188" w:rsidRPr="008E43D6">
              <w:rPr>
                <w:rFonts w:ascii="Times New Roman" w:hAnsi="Times New Roman" w:cs="Times New Roman"/>
                <w:sz w:val="24"/>
                <w:szCs w:val="24"/>
              </w:rPr>
              <w:t>ranspunerea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r w:rsidR="00D71188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realizată fără a modifica structura și textul 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Codurilor UE, cu excepția modificărilor incluse în Deciziile PHLG.</w:t>
            </w:r>
          </w:p>
          <w:p w14:paraId="450F0EEE" w14:textId="58937495" w:rsidR="0080007E" w:rsidRDefault="0080007E" w:rsidP="001031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right="180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proiectul Codului rețelelor de gaze naturale a fost elaborată Tabelul de concordanță cu legislația UE, în care se analizează comparativ gradul de transpunere a Regulamentelor TAR., CAM., IO.) în proiectul </w:t>
            </w:r>
            <w:r w:rsidR="00096E7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ațional, după modelul stabilit în Anexa nr. 1 la Legea 100</w:t>
            </w:r>
            <w:r w:rsidR="00096E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2017.</w:t>
            </w:r>
          </w:p>
          <w:p w14:paraId="751CA003" w14:textId="1EFF178B" w:rsidR="00D71188" w:rsidRPr="008E43D6" w:rsidRDefault="00D71188" w:rsidP="00C90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after="0" w:line="240" w:lineRule="auto"/>
              <w:ind w:right="180" w:firstLine="5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D59" w:rsidRPr="00E05A25" w14:paraId="7A71ECBB" w14:textId="77777777" w:rsidTr="00A756E7">
        <w:tc>
          <w:tcPr>
            <w:tcW w:w="5000" w:type="pct"/>
          </w:tcPr>
          <w:p w14:paraId="3A4B6BC3" w14:textId="66C1409C" w:rsidR="00DE5D59" w:rsidRPr="008E43D6" w:rsidRDefault="00DE5D59" w:rsidP="00962EB1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319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3. Principalele prevederi ale proiectului</w:t>
            </w:r>
          </w:p>
        </w:tc>
      </w:tr>
      <w:tr w:rsidR="007A114E" w:rsidRPr="00E05A25" w14:paraId="3EB80EA2" w14:textId="77777777" w:rsidTr="00A756E7">
        <w:tc>
          <w:tcPr>
            <w:tcW w:w="5000" w:type="pct"/>
          </w:tcPr>
          <w:p w14:paraId="3E681C53" w14:textId="6F3B491F" w:rsidR="00353109" w:rsidRPr="008E43D6" w:rsidRDefault="00353109" w:rsidP="00A756E7">
            <w:pPr>
              <w:spacing w:after="0" w:line="240" w:lineRule="auto"/>
              <w:ind w:right="181" w:firstLine="5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Proiectul Codului rețelelor reglementează o multitudine de aspecte tehnice și procese de care sunt responsabili OST, atît pentru asigurarea exploatării în siguranță a sistemului, precum și pentru asigurarea conlucrării în scopul gestionării fluxurilor de gaze naturale care pot avea loc între 2 sau mai multe sisteme de transport adiacente. </w:t>
            </w:r>
          </w:p>
          <w:p w14:paraId="6561355D" w14:textId="6B32B667" w:rsidR="00353109" w:rsidRPr="008E43D6" w:rsidRDefault="00353109" w:rsidP="00A756E7">
            <w:pPr>
              <w:spacing w:after="0" w:line="240" w:lineRule="auto"/>
              <w:ind w:right="181" w:firstLine="54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Proiectul Codului rețelelor de gaze natural</w:t>
            </w:r>
            <w:r w:rsidR="007B6D52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e este structurat în </w:t>
            </w:r>
            <w:r w:rsidR="005C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VI</w:t>
            </w:r>
            <w:r w:rsidR="007B6D52" w:rsidRP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C6A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</w:t>
            </w:r>
            <w:r w:rsidR="00916950" w:rsidRP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itluri</w:t>
            </w:r>
            <w:r w:rsidR="00D551F3" w:rsidRP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C063B55" w14:textId="12C639C3" w:rsidR="00D656D9" w:rsidRPr="00D656D9" w:rsidRDefault="00D656D9" w:rsidP="0063315D">
            <w:pPr>
              <w:pStyle w:val="ListParagraph"/>
              <w:tabs>
                <w:tab w:val="left" w:pos="851"/>
              </w:tabs>
              <w:spacing w:after="0" w:line="240" w:lineRule="auto"/>
              <w:ind w:left="30" w:firstLine="42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Titlul I</w:t>
            </w:r>
            <w:r w:rsidRPr="00D656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conține p</w:t>
            </w:r>
            <w:r w:rsidRPr="00D656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revederi </w:t>
            </w:r>
            <w:r w:rsidR="0063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g</w:t>
            </w:r>
            <w:r w:rsidRPr="00D656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enerale care conține norme privind domeniu de aplicare, termeni și noțiuni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5D381119" w14:textId="678454ED" w:rsidR="00353109" w:rsidRPr="008E43D6" w:rsidRDefault="00AE112C" w:rsidP="00A756E7">
            <w:pPr>
              <w:tabs>
                <w:tab w:val="left" w:pos="142"/>
                <w:tab w:val="left" w:pos="3896"/>
              </w:tabs>
              <w:spacing w:after="0" w:line="240" w:lineRule="auto"/>
              <w:ind w:right="181" w:firstLine="5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Titlul</w:t>
            </w:r>
            <w:r w:rsidR="00353109"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I</w:t>
            </w:r>
            <w:r w:rsidR="00D656D9"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I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C1B4D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reglementează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norme</w:t>
            </w:r>
            <w:r w:rsidR="000D25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tehnice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privind </w:t>
            </w:r>
            <w:r w:rsidR="00353109" w:rsidRPr="00D551F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exploatarea reţelelor de transport şi de distribuţie a gazelor naturale</w:t>
            </w:r>
            <w:r w:rsidR="00D551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în special norme privind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asigurarea </w:t>
            </w:r>
            <w:r w:rsidR="008C32A3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interoperabilității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în 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sistemului de gaze naturale,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principiile de măsurare a calității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și cantității gazelor naturale,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modalitatea de determinare a punctelor de intrare- ieșire în</w:t>
            </w:r>
            <w:r w:rsidR="00711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/din sistemul de transport al gazelor naturale al Republicii Moldova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ș.a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  <w:p w14:paraId="4AF4E205" w14:textId="61717D10" w:rsidR="00353109" w:rsidRPr="008E43D6" w:rsidRDefault="00AE112C" w:rsidP="00A756E7">
            <w:pPr>
              <w:tabs>
                <w:tab w:val="left" w:pos="851"/>
              </w:tabs>
              <w:spacing w:after="0" w:line="240" w:lineRule="auto"/>
              <w:ind w:right="181" w:firstLine="5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Titlul</w:t>
            </w:r>
            <w:r w:rsidR="00353109"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 II</w:t>
            </w:r>
            <w:r w:rsidR="00D656D9"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I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transpune prevederile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Regulamentul </w:t>
            </w:r>
            <w:r w:rsidR="00353109" w:rsidRPr="000C1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(UE) 2015/703</w:t>
            </w:r>
            <w:r w:rsidR="00353109" w:rsidRP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al Comisiei din 30 aprilie 2015 de stabilire a unui </w:t>
            </w:r>
            <w:r w:rsidR="000C1945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C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od de rețea pentru normele privind interoperabilitatea și schimbul de date</w:t>
            </w:r>
            <w:r w:rsidR="00711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11D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are prevede </w:t>
            </w:r>
            <w:r w:rsid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condițiile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pentru întocmirea și încheierea acordurilor de inter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conec</w:t>
            </w:r>
            <w:r w:rsid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tare între operatorii adiacenți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ale căror sisteme sunt conectate într-un anumit punct de interconectare transfrontalier</w:t>
            </w:r>
            <w:r w:rsidR="000C1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precum și modalitatea de schimb de date dintre aceștia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365C4C2C" w14:textId="4256B5DD" w:rsidR="00353109" w:rsidRPr="008E43D6" w:rsidRDefault="00AE112C" w:rsidP="00A756E7">
            <w:pPr>
              <w:widowControl w:val="0"/>
              <w:tabs>
                <w:tab w:val="left" w:pos="142"/>
              </w:tabs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63315D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      </w:t>
            </w:r>
            <w:r w:rsidR="00353109"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Titlul I</w:t>
            </w:r>
            <w:r w:rsidR="00D656D9"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V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transpune prevederile Regulamentului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(UE) 2017/459 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al Comisiei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privind stabilirea unui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Cod al rețelei privind mecanismul de alocare a capacității în sistemele de transport al gazelor naturale (CAM)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De asemenea sunt prevăzute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0DE2F540" w14:textId="620CB801" w:rsidR="00353109" w:rsidRPr="001031C1" w:rsidRDefault="00353109" w:rsidP="0063315D">
            <w:pPr>
              <w:pStyle w:val="ListParagraph"/>
              <w:numPr>
                <w:ilvl w:val="0"/>
                <w:numId w:val="45"/>
              </w:numPr>
              <w:tabs>
                <w:tab w:val="left" w:pos="597"/>
                <w:tab w:val="left" w:pos="882"/>
                <w:tab w:val="left" w:pos="1066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mecanisme</w:t>
            </w:r>
            <w:r w:rsidR="00AE112C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le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alocare a capacității în rețelele de transport al gazelor naturale care se aplică la</w:t>
            </w:r>
            <w:r w:rsidRPr="00103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punctele de interconectare între Părţile Contractante și </w:t>
            </w:r>
            <w:r w:rsidRPr="001031C1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nu </w:t>
            </w:r>
            <w:r w:rsidRPr="00103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 aplică la punctele de ieșire către consumatorii finali racordați direct  și la punctele de ieșire spre</w:t>
            </w:r>
            <w:r w:rsidR="00103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rețelele de distribuție;</w:t>
            </w:r>
          </w:p>
          <w:p w14:paraId="138BF913" w14:textId="7C30A3B4" w:rsidR="00322F67" w:rsidRPr="001031C1" w:rsidRDefault="00353109" w:rsidP="0063315D">
            <w:pPr>
              <w:pStyle w:val="ListParagraph"/>
              <w:numPr>
                <w:ilvl w:val="0"/>
                <w:numId w:val="45"/>
              </w:numPr>
              <w:tabs>
                <w:tab w:val="left" w:pos="597"/>
                <w:tab w:val="left" w:pos="686"/>
                <w:tab w:val="left" w:pos="882"/>
                <w:tab w:val="left" w:pos="1066"/>
                <w:tab w:val="left" w:pos="1115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modalit</w:t>
            </w:r>
            <w:r w:rsidR="00AE112C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ățile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cooperare a OST adiacenți pentru a facilita alocarea capacității, ținând seama de normele comerciale și tehnice generale privind mecan</w:t>
            </w:r>
            <w:r w:rsid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ismele de alocare a capacității;</w:t>
            </w:r>
          </w:p>
          <w:p w14:paraId="03848269" w14:textId="67721FBC" w:rsidR="00353109" w:rsidRPr="001031C1" w:rsidRDefault="00353109" w:rsidP="0063315D">
            <w:pPr>
              <w:pStyle w:val="ListParagraph"/>
              <w:numPr>
                <w:ilvl w:val="0"/>
                <w:numId w:val="45"/>
              </w:numPr>
              <w:tabs>
                <w:tab w:val="left" w:pos="597"/>
                <w:tab w:val="left" w:pos="686"/>
                <w:tab w:val="left" w:pos="882"/>
                <w:tab w:val="left" w:pos="1066"/>
                <w:tab w:val="left" w:pos="1115"/>
              </w:tabs>
              <w:spacing w:after="0" w:line="240" w:lineRule="auto"/>
              <w:ind w:left="31" w:right="181" w:firstLine="566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procedur</w:t>
            </w:r>
            <w:r w:rsidR="00322F67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ile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licitație pentru punctele de interconectare dintre țăril</w:t>
            </w:r>
            <w:r w:rsidR="000C1945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 Părți Contractante și pentru Produsele standard de c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apacitate </w:t>
            </w:r>
            <w:r w:rsidR="00322F67"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(PSC) </w:t>
            </w:r>
            <w:r w:rsidRPr="001031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care urmează să fie oferite și alocate. </w:t>
            </w:r>
          </w:p>
          <w:p w14:paraId="11054B3D" w14:textId="77777777" w:rsidR="00523305" w:rsidRDefault="00D656D9" w:rsidP="00A7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spacing w:after="0" w:line="240" w:lineRule="auto"/>
              <w:ind w:right="181" w:firstLine="5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 xml:space="preserve">Titlul </w:t>
            </w:r>
            <w:r w:rsidR="00353109"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V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transpune prevederile</w:t>
            </w:r>
            <w:r w:rsidR="00353109" w:rsidRPr="008E43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Regulamentului </w:t>
            </w:r>
            <w:r w:rsidR="00353109" w:rsidRPr="003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(UE) 2017/460</w:t>
            </w:r>
            <w:r w:rsidR="00353109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al Comisiei din 16 martie 2017 de</w:t>
            </w:r>
            <w:r w:rsidR="00353109" w:rsidRPr="008E43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stabilire a unui Cod al rețelei privind structurile tarifare armonizate pent</w:t>
            </w:r>
            <w:r w:rsidR="003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ru transportul gazelor naturale </w:t>
            </w:r>
            <w:r w:rsidR="00322F67" w:rsidRPr="00322F67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și include</w:t>
            </w:r>
            <w:r w:rsidR="00322F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norme privind structurile tarifare armonizate pentru transportul gazelor naturale, inclusiv norme privind aplicarea unei Metodologii de stabilire a prețurilor de referință, cerințele conexe în materie de consultare și de publicare, precum și norme privind calcularea prețurilor de rezervă pentru PSC.</w:t>
            </w:r>
            <w:r w:rsidR="00AE112C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353109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Tarifele determinate conform acestor reguli vor fi aplicate tuturor punctelor din rețeaua de transport, inclusiv și punctelor de intrare și ieșire din /către țări terțe. </w:t>
            </w:r>
          </w:p>
          <w:p w14:paraId="67A84DA8" w14:textId="47E737DD" w:rsidR="005C6A65" w:rsidRPr="0080007E" w:rsidRDefault="005C6A65" w:rsidP="00A7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7"/>
              </w:tabs>
              <w:spacing w:after="0" w:line="240" w:lineRule="auto"/>
              <w:ind w:right="181" w:firstLine="59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31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Titlul VI</w:t>
            </w:r>
            <w:r w:rsidR="00A7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dispozițiile finale și tranzitorii în care sunt prevăzuți termenii de intrare în vigoare și </w:t>
            </w:r>
            <w:r w:rsidR="00A756E7" w:rsidRPr="00A7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măsurile necesare punerii în aplicare a Codului </w:t>
            </w:r>
            <w:r w:rsidR="00A7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</w:t>
            </w:r>
            <w:r w:rsidR="00A756E7" w:rsidRPr="00A7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ețelelor</w:t>
            </w:r>
            <w:r w:rsidR="00A7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gaze naturale</w:t>
            </w:r>
            <w:r w:rsidR="00A756E7" w:rsidRPr="00A7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A75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7A114E" w:rsidRPr="00E05A25" w14:paraId="0AC4926E" w14:textId="77777777" w:rsidTr="00A756E7">
        <w:tc>
          <w:tcPr>
            <w:tcW w:w="5000" w:type="pct"/>
          </w:tcPr>
          <w:p w14:paraId="36162635" w14:textId="77777777" w:rsidR="007A114E" w:rsidRPr="008E43D6" w:rsidRDefault="007A114E" w:rsidP="00962EB1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 xml:space="preserve">5. Fundamentarea </w:t>
            </w:r>
            <w:proofErr w:type="spellStart"/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economico</w:t>
            </w:r>
            <w:proofErr w:type="spellEnd"/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-financiară</w:t>
            </w:r>
          </w:p>
        </w:tc>
      </w:tr>
      <w:tr w:rsidR="007A114E" w:rsidRPr="00E05A25" w14:paraId="4CDF1706" w14:textId="77777777" w:rsidTr="00A756E7">
        <w:tc>
          <w:tcPr>
            <w:tcW w:w="5000" w:type="pct"/>
          </w:tcPr>
          <w:p w14:paraId="4A94E1AD" w14:textId="198ED380" w:rsidR="000113FF" w:rsidRPr="008E43D6" w:rsidRDefault="000113FF" w:rsidP="00A756E7">
            <w:pPr>
              <w:tabs>
                <w:tab w:val="left" w:pos="0"/>
              </w:tabs>
              <w:spacing w:after="0" w:line="240" w:lineRule="auto"/>
              <w:ind w:right="180" w:firstLine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pentru operatorii</w:t>
            </w:r>
            <w:r w:rsidR="007C5D23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sistemului</w:t>
            </w:r>
            <w:r w:rsidR="008840D1"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de transport</w:t>
            </w: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14:paraId="4CA29931" w14:textId="77777777" w:rsidR="000113FF" w:rsidRPr="008E43D6" w:rsidRDefault="000113FF" w:rsidP="00A756E7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" w:right="180" w:firstLine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legate de crearea unei baze de date și/sau achiziționarea software-ul necesar pentru schimbul de date;</w:t>
            </w:r>
          </w:p>
          <w:p w14:paraId="14DBC37F" w14:textId="20A44918" w:rsidR="000113FF" w:rsidRDefault="000113FF" w:rsidP="00A756E7">
            <w:pPr>
              <w:pStyle w:val="ListParagraph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31" w:right="180" w:firstLine="3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43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 legate de instruirea personalului operatorului de transport.</w:t>
            </w:r>
          </w:p>
          <w:p w14:paraId="49A4A873" w14:textId="0CCA97CA" w:rsidR="007A114E" w:rsidRPr="00322F67" w:rsidRDefault="00322F67" w:rsidP="00A756E7">
            <w:pPr>
              <w:pStyle w:val="ListParagraph"/>
              <w:tabs>
                <w:tab w:val="left" w:pos="0"/>
              </w:tabs>
              <w:spacing w:after="0" w:line="240" w:lineRule="auto"/>
              <w:ind w:left="0" w:right="180" w:firstLine="4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Costurile OST pentru prestarea activității de transport al gazelor naturale sunt incluse în tarifele reglementate aprobate de Agenție.</w:t>
            </w:r>
          </w:p>
        </w:tc>
      </w:tr>
      <w:tr w:rsidR="007A114E" w:rsidRPr="00E05A25" w14:paraId="308E0D8D" w14:textId="77777777" w:rsidTr="00A756E7">
        <w:tc>
          <w:tcPr>
            <w:tcW w:w="5000" w:type="pct"/>
          </w:tcPr>
          <w:p w14:paraId="25831374" w14:textId="77777777" w:rsidR="007A114E" w:rsidRPr="008E43D6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t>6. Modul de încorporare a actului în cadrul normativ în vigoare</w:t>
            </w:r>
          </w:p>
        </w:tc>
      </w:tr>
      <w:tr w:rsidR="007A114E" w:rsidRPr="00E05A25" w14:paraId="32DC0638" w14:textId="77777777" w:rsidTr="00A756E7">
        <w:tc>
          <w:tcPr>
            <w:tcW w:w="5000" w:type="pct"/>
          </w:tcPr>
          <w:p w14:paraId="54AAADD7" w14:textId="495A50CF" w:rsidR="00127CD6" w:rsidRPr="008E43D6" w:rsidRDefault="00927642" w:rsidP="00127CD6">
            <w:pPr>
              <w:tabs>
                <w:tab w:val="left" w:pos="284"/>
              </w:tabs>
              <w:suppressAutoHyphens/>
              <w:spacing w:after="0"/>
              <w:ind w:right="180"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Concomitent cu a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doptarea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Hotărâ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ANRE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privind aprobarea 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Codului rețelelor de gaze naturale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urmează a fi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abroga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tă 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Hotărâ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ANRE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nr. 375 din  13.05.2010 cu privire la aprobarea Normelor 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tehnice ale reţelelor de transport al gazelor naturale și Hotărîrea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ANRE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nr. 324  din  27.02.2009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62EB1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cu privire la aprobarea Normelor tehnice ale reţelelor de distribuție al gazelor naturale care în prezent reglementează cerințele de ordin tehnic pentru operarea și exploatarea rețelelor de gaze naturale.</w:t>
            </w:r>
          </w:p>
        </w:tc>
      </w:tr>
      <w:tr w:rsidR="007A114E" w:rsidRPr="00E05A25" w14:paraId="71A13F15" w14:textId="77777777" w:rsidTr="00A756E7">
        <w:tc>
          <w:tcPr>
            <w:tcW w:w="5000" w:type="pct"/>
          </w:tcPr>
          <w:p w14:paraId="3DE76883" w14:textId="77777777" w:rsidR="007A114E" w:rsidRPr="008E43D6" w:rsidRDefault="007A114E" w:rsidP="007A114E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7. Avizarea şi consultarea publică a proiectului</w:t>
            </w:r>
          </w:p>
        </w:tc>
      </w:tr>
      <w:tr w:rsidR="007A114E" w:rsidRPr="00E05A25" w14:paraId="58C50144" w14:textId="77777777" w:rsidTr="00A756E7">
        <w:tc>
          <w:tcPr>
            <w:tcW w:w="5000" w:type="pct"/>
          </w:tcPr>
          <w:p w14:paraId="46C84DEE" w14:textId="4DE681BB" w:rsidR="008F2A66" w:rsidRPr="008E43D6" w:rsidRDefault="009F592D" w:rsidP="00A756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180" w:firstLine="457"/>
              <w:jc w:val="both"/>
              <w:rPr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În conformitate cu art. 114 alin (10) 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Agenția a desemnat SR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 „Moldovatransgaz” (MTG) responsabil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de elaborarea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în colaborare cu ceilalți operatori de sistem și prezentarea spre examinare și aprobare a proiectului Cod</w:t>
            </w:r>
            <w:r w:rsidR="009276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ului rețelelor de gaze naturale. 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Proiectul Codului rețelelor de gaze naturale a fost prezentat în termen la Agenție</w:t>
            </w:r>
            <w:r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fiind propus spre consultare publică părților interesate.</w:t>
            </w:r>
            <w:r w:rsidR="008F2A66" w:rsidRPr="008E43D6">
              <w:rPr>
                <w:sz w:val="24"/>
                <w:szCs w:val="24"/>
                <w:lang w:eastAsia="ar-SA"/>
              </w:rPr>
              <w:t xml:space="preserve"> </w:t>
            </w:r>
          </w:p>
          <w:p w14:paraId="159FDEB3" w14:textId="0D70F936" w:rsidR="003F41D5" w:rsidRPr="008E43D6" w:rsidRDefault="00927642" w:rsidP="00A756E7">
            <w:pPr>
              <w:tabs>
                <w:tab w:val="left" w:pos="1066"/>
              </w:tabs>
              <w:spacing w:after="0"/>
              <w:ind w:right="180" w:firstLine="457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În anul 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2018</w:t>
            </w:r>
            <w:r w:rsidR="00A9749B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,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Agenția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a lansat procesul de 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consultări publice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a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proiectul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ui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Codului rețelelor de gaze naturale în care a fost transpus Regulamentul (UE) 2015/703 privind stabilirea unui </w:t>
            </w:r>
            <w:r w:rsidR="003F41D5" w:rsidRPr="0028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Cod de rețea privind interoperabilitatea și schimbul de date.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La data de 28 noiembrie 2018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,</w:t>
            </w:r>
            <w:r w:rsidR="007F328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Grupul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ermanent de 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Nivel Înalt al Comunității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nergetice a 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decis ca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țările Părți contractante, inclusiv RM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urmează să transpună pînă la data de </w:t>
            </w:r>
            <w:r w:rsidR="0028244A" w:rsidRPr="00242032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28 august 2019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</w:t>
            </w:r>
            <w:r w:rsidR="0028244A" w:rsidRP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Regulamentul (UE) Nr. 2017/459 de stabilire a unui </w:t>
            </w:r>
            <w:r w:rsidR="0028244A" w:rsidRPr="0028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cod al rețelei privind mecanismele de alocare a capacității în sistemele de transport al gazelor</w:t>
            </w:r>
            <w:r w:rsidR="0028244A" w:rsidRP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și  Regulamentul (CE) Nr. 460/2017 de stabilire a unui </w:t>
            </w:r>
            <w:r w:rsidR="0028244A" w:rsidRPr="002824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MD"/>
              </w:rPr>
              <w:t>cod al rețelei privind structurile tarifare armonizate pentru transportul gazelor</w:t>
            </w:r>
            <w:r w:rsidR="0028244A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. 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Reieșind din prevederile art. 114 alin (10) din Legea 108/2016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, </w:t>
            </w:r>
            <w:r w:rsidR="007F328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Agenția 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promovează pentru consultare publică proiectul </w:t>
            </w:r>
            <w:r w:rsidR="00703CF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Codul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ui</w:t>
            </w:r>
            <w:r w:rsidR="00703CF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Rețelelor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de gaze naturale în care sunt transpuse</w:t>
            </w:r>
            <w:r w:rsidR="003F41D5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 xml:space="preserve"> concomitent 3 Regulamente UE</w:t>
            </w:r>
            <w:r w:rsidR="00703CF5">
              <w:rPr>
                <w:rFonts w:ascii="Times New Roman" w:eastAsia="Times New Roman" w:hAnsi="Times New Roman" w:cs="Times New Roman"/>
                <w:sz w:val="24"/>
                <w:szCs w:val="24"/>
                <w:lang w:eastAsia="ru-MD"/>
              </w:rPr>
              <w:t>.</w:t>
            </w:r>
          </w:p>
          <w:p w14:paraId="51FDEC22" w14:textId="319A5793" w:rsidR="007A114E" w:rsidRPr="008E43D6" w:rsidRDefault="00703CF5" w:rsidP="00A756E7">
            <w:pPr>
              <w:tabs>
                <w:tab w:val="left" w:pos="284"/>
                <w:tab w:val="num" w:pos="360"/>
              </w:tabs>
              <w:suppressAutoHyphens/>
              <w:spacing w:after="0"/>
              <w:ind w:right="180" w:firstLine="4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Proiectul, N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ota informativă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Tabelul de concordanță cu legislația UE</w:t>
            </w:r>
            <w:r w:rsidR="009F7508" w:rsidRPr="008E43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fost 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plasat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</w:t>
            </w:r>
            <w:r w:rsidR="009F592D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spre consultare publică și avizare</w:t>
            </w:r>
            <w:r w:rsidR="000113FF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E10D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</w:t>
            </w:r>
            <w:r w:rsidR="008F2A66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ă</w:t>
            </w:r>
            <w:r w:rsidR="009E10D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rților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interesate în conformitate cu Legea privind transparenţa în procesul decizional nr. 238/2008 şi Legea nr.</w:t>
            </w:r>
            <w:r w:rsidR="00122AA7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100</w:t>
            </w:r>
            <w:r w:rsidR="007A114E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22AA7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din 22 decembrie 2017</w:t>
            </w:r>
            <w:r w:rsidR="007C5D23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privind actele normative</w:t>
            </w:r>
            <w:r w:rsidR="00122AA7" w:rsidRPr="008E43D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3B6CD21A" w14:textId="750472C8" w:rsidR="00242032" w:rsidRPr="005C6A65" w:rsidRDefault="007C5D23" w:rsidP="00127CD6">
            <w:pPr>
              <w:tabs>
                <w:tab w:val="left" w:pos="3150"/>
              </w:tabs>
              <w:spacing w:after="0"/>
              <w:ind w:left="31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Agenţia a 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>consultat public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proiectul cu 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>Ministerul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Economiei</w:t>
            </w:r>
            <w:r w:rsidRPr="008E43D6">
              <w:rPr>
                <w:rFonts w:ascii="Times New Roman" w:hAnsi="Times New Roman" w:cs="Times New Roman"/>
                <w:sz w:val="24"/>
                <w:szCs w:val="24"/>
              </w:rPr>
              <w:t xml:space="preserve"> și Infrastructurii</w:t>
            </w:r>
            <w:r w:rsidR="000113FF" w:rsidRPr="008E43D6">
              <w:rPr>
                <w:rFonts w:ascii="Times New Roman" w:hAnsi="Times New Roman" w:cs="Times New Roman"/>
                <w:sz w:val="24"/>
                <w:szCs w:val="24"/>
              </w:rPr>
              <w:t>, Consiliul Concurenței, operatorii sistemului de transport şi de</w:t>
            </w:r>
            <w:r w:rsidR="00127CD6">
              <w:rPr>
                <w:rFonts w:ascii="Times New Roman" w:hAnsi="Times New Roman" w:cs="Times New Roman"/>
                <w:sz w:val="24"/>
                <w:szCs w:val="24"/>
              </w:rPr>
              <w:t xml:space="preserve"> distribuție a gazelor naturale.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Avizele recepționate au fost incluse în Sinteza obiecțiilor la proiect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6D9">
              <w:rPr>
                <w:rFonts w:ascii="Times New Roman" w:hAnsi="Times New Roman" w:cs="Times New Roman"/>
                <w:sz w:val="24"/>
                <w:szCs w:val="24"/>
              </w:rPr>
              <w:t>În scopul definitivării proiectului obiecțiile și propunerile prezentate au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fost discutate în cadrul</w:t>
            </w:r>
            <w:r w:rsidR="00242032">
              <w:rPr>
                <w:rFonts w:ascii="Times New Roman" w:hAnsi="Times New Roman" w:cs="Times New Roman"/>
                <w:sz w:val="24"/>
                <w:szCs w:val="24"/>
              </w:rPr>
              <w:t xml:space="preserve"> a 3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 xml:space="preserve"> ședințe</w:t>
            </w:r>
            <w:r w:rsidR="00242032">
              <w:rPr>
                <w:rFonts w:ascii="Times New Roman" w:hAnsi="Times New Roman" w:cs="Times New Roman"/>
                <w:sz w:val="24"/>
                <w:szCs w:val="24"/>
              </w:rPr>
              <w:t xml:space="preserve"> de lucru </w:t>
            </w:r>
            <w:r w:rsidR="008C32A3">
              <w:rPr>
                <w:rFonts w:ascii="Times New Roman" w:hAnsi="Times New Roman" w:cs="Times New Roman"/>
                <w:sz w:val="24"/>
                <w:szCs w:val="24"/>
              </w:rPr>
              <w:t>cu părțile interesate</w:t>
            </w:r>
            <w:r w:rsidR="00242032">
              <w:rPr>
                <w:rFonts w:ascii="Times New Roman" w:hAnsi="Times New Roman" w:cs="Times New Roman"/>
                <w:sz w:val="24"/>
                <w:szCs w:val="24"/>
              </w:rPr>
              <w:t xml:space="preserve">. Proiectul Codului rețelelor </w:t>
            </w:r>
            <w:r w:rsidR="00703DE4">
              <w:rPr>
                <w:rFonts w:ascii="Times New Roman" w:hAnsi="Times New Roman" w:cs="Times New Roman"/>
                <w:sz w:val="24"/>
                <w:szCs w:val="24"/>
              </w:rPr>
              <w:t>conține 443</w:t>
            </w:r>
            <w:r w:rsidR="005C6A65">
              <w:rPr>
                <w:rFonts w:ascii="Times New Roman" w:hAnsi="Times New Roman" w:cs="Times New Roman"/>
                <w:sz w:val="24"/>
                <w:szCs w:val="24"/>
              </w:rPr>
              <w:t xml:space="preserve"> puncte</w:t>
            </w:r>
            <w:r w:rsidR="006331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6A65">
              <w:rPr>
                <w:rFonts w:ascii="Times New Roman" w:hAnsi="Times New Roman" w:cs="Times New Roman"/>
                <w:sz w:val="24"/>
                <w:szCs w:val="24"/>
              </w:rPr>
              <w:t xml:space="preserve"> structurate în VI Titluri.</w:t>
            </w:r>
          </w:p>
        </w:tc>
      </w:tr>
      <w:tr w:rsidR="00DE5D59" w:rsidRPr="00E05A25" w14:paraId="39FDB1D8" w14:textId="77777777" w:rsidTr="00A756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732" w14:textId="6CEFCC85" w:rsidR="00DE5D59" w:rsidRPr="008E43D6" w:rsidRDefault="00DE5D59" w:rsidP="00393806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 xml:space="preserve">8. Constatările expertizei </w:t>
            </w:r>
            <w:r w:rsidR="00242032"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anticorupție</w:t>
            </w:r>
          </w:p>
        </w:tc>
      </w:tr>
      <w:tr w:rsidR="00DE5D59" w:rsidRPr="00E05A25" w14:paraId="14CCACB3" w14:textId="77777777" w:rsidTr="00A756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8CA6" w14:textId="384766C8" w:rsidR="00DE5D59" w:rsidRPr="008E43D6" w:rsidRDefault="00DE5D59" w:rsidP="00127CD6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</w:pPr>
            <w:bookmarkStart w:id="1" w:name="_GoBack"/>
            <w:bookmarkEnd w:id="1"/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A se vedea sinteza obiecțiilor la proiect.</w:t>
            </w:r>
          </w:p>
        </w:tc>
      </w:tr>
      <w:tr w:rsidR="00DE5D59" w:rsidRPr="00E05A25" w14:paraId="1CB54204" w14:textId="77777777" w:rsidTr="00A756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1431" w14:textId="77777777" w:rsidR="00DE5D59" w:rsidRPr="008E43D6" w:rsidRDefault="00DE5D59" w:rsidP="00393806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9. Constatările expertizei de compatibilitate</w:t>
            </w:r>
          </w:p>
        </w:tc>
      </w:tr>
      <w:tr w:rsidR="00D656D9" w:rsidRPr="00E05A25" w14:paraId="2331C4BE" w14:textId="77777777" w:rsidTr="00A756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3EF" w14:textId="08935057" w:rsidR="00D656D9" w:rsidRPr="008E43D6" w:rsidRDefault="00D656D9" w:rsidP="00A756E7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ind w:firstLine="456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2D151B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Conform </w:t>
            </w:r>
            <w:r w:rsidRPr="002D151B">
              <w:rPr>
                <w:rFonts w:ascii="Times New Roman" w:eastAsiaTheme="minorEastAsia" w:hAnsi="Times New Roman"/>
                <w:i/>
                <w:sz w:val="24"/>
                <w:szCs w:val="24"/>
                <w:lang w:eastAsia="ar-SA"/>
              </w:rPr>
              <w:t>Declarației nr. 3102-3-4719 din 30.07. 2019</w:t>
            </w:r>
            <w:r w:rsidRPr="002D151B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 </w:t>
            </w:r>
            <w:r w:rsidR="0024203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al </w:t>
            </w:r>
            <w:r w:rsidRPr="002D151B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>Centrul</w:t>
            </w:r>
            <w:r w:rsidR="00242032">
              <w:rPr>
                <w:rFonts w:ascii="Times New Roman" w:eastAsiaTheme="minorEastAsia" w:hAnsi="Times New Roman"/>
                <w:sz w:val="24"/>
                <w:szCs w:val="24"/>
                <w:lang w:eastAsia="ar-SA"/>
              </w:rPr>
              <w:t xml:space="preserve">ui de Armonizarea a Legislației pe lîngă Cancelaria de Stat al RM, </w:t>
            </w:r>
            <w:r>
              <w:rPr>
                <w:rFonts w:ascii="Times New Roman" w:hAnsi="Times New Roman"/>
                <w:bCs/>
                <w:sz w:val="24"/>
                <w:szCs w:val="24"/>
                <w:lang w:val="ro-MD"/>
              </w:rPr>
              <w:t>î</w:t>
            </w:r>
            <w:r w:rsidRPr="00051B91">
              <w:rPr>
                <w:rFonts w:ascii="Times New Roman" w:hAnsi="Times New Roman"/>
                <w:bCs/>
                <w:sz w:val="24"/>
                <w:szCs w:val="24"/>
              </w:rPr>
              <w:t xml:space="preserve">n urma evaluării realizate proiectul de act normativ prezentat pentru expertiza de compatibilitate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î</w:t>
            </w:r>
            <w:r w:rsidRPr="00051B9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 ceea ce privește transpunerea </w:t>
            </w:r>
            <w:r w:rsidRPr="00B02715">
              <w:rPr>
                <w:rFonts w:ascii="Times New Roman" w:hAnsi="Times New Roman"/>
                <w:sz w:val="24"/>
                <w:szCs w:val="24"/>
              </w:rPr>
              <w:t>Regulamentul</w:t>
            </w:r>
            <w:r>
              <w:rPr>
                <w:rFonts w:ascii="Times New Roman" w:hAnsi="Times New Roman"/>
                <w:sz w:val="24"/>
                <w:szCs w:val="24"/>
              </w:rPr>
              <w:t>ui</w:t>
            </w:r>
            <w:r w:rsidRPr="00B02715">
              <w:rPr>
                <w:rFonts w:ascii="Times New Roman" w:hAnsi="Times New Roman"/>
                <w:sz w:val="24"/>
                <w:szCs w:val="24"/>
              </w:rPr>
              <w:t xml:space="preserve"> (UE) 2015/703 al Comisiei din 30 aprilie 2015 de stabilire a unui cod de rețea pentru normele privind interoperabilitatea și schimbul de date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Regulamentului (UE) 2017/459 al Comisiei din 16 martie 2017 de stabilire a unui cod al rețelei privind mecanismele de alocare a capacității în sistemele de transport al gazelor și de abrogare a Regulamentului (UE) nr. 984/2013 și Regulamentului (UE) 2017/460 al Comisiei din 16 martie 2017 de stabilire a unui cod al rețelei privind structurile tarifare armonizate pentru transportul gazelor, </w:t>
            </w:r>
            <w:r w:rsidRPr="000F2908">
              <w:rPr>
                <w:rFonts w:ascii="Times New Roman" w:hAnsi="Times New Roman"/>
                <w:sz w:val="24"/>
                <w:szCs w:val="24"/>
              </w:rPr>
              <w:t>în contextul Decizi</w:t>
            </w:r>
            <w:r>
              <w:rPr>
                <w:rFonts w:ascii="Times New Roman" w:hAnsi="Times New Roman"/>
                <w:sz w:val="24"/>
                <w:szCs w:val="24"/>
              </w:rPr>
              <w:t>ilor</w:t>
            </w:r>
            <w:r w:rsidRPr="000F2908">
              <w:rPr>
                <w:rFonts w:ascii="Times New Roman" w:hAnsi="Times New Roman"/>
                <w:sz w:val="24"/>
                <w:szCs w:val="24"/>
              </w:rPr>
              <w:t xml:space="preserve"> PHLG-EnC</w:t>
            </w:r>
            <w:r w:rsidRPr="00535763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127CD6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en-GB"/>
              </w:rPr>
              <w:t>“</w:t>
            </w:r>
            <w:r w:rsidRPr="00535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proiectul național și-a atins finalitatea propusă, </w:t>
            </w:r>
            <w:r w:rsidR="00127CD6" w:rsidRPr="00535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asigurând</w:t>
            </w:r>
            <w:r w:rsidRPr="0053576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transpunerea corespunzătoare și fidelă a normelor UE</w:t>
            </w:r>
            <w:r w:rsidR="00127CD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.</w:t>
            </w:r>
          </w:p>
        </w:tc>
      </w:tr>
      <w:tr w:rsidR="00DE5D59" w:rsidRPr="00E05A25" w14:paraId="226AB05A" w14:textId="77777777" w:rsidTr="00A756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CC18" w14:textId="77777777" w:rsidR="00DE5D59" w:rsidRPr="008E43D6" w:rsidRDefault="00DE5D59" w:rsidP="00393806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ar-SA"/>
              </w:rPr>
              <w:t>10. Constatările expertizei juridice</w:t>
            </w:r>
          </w:p>
        </w:tc>
      </w:tr>
      <w:tr w:rsidR="00DE5D59" w:rsidRPr="00E05A25" w14:paraId="217CDBC6" w14:textId="77777777" w:rsidTr="00A756E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A94" w14:textId="5F31CEEF" w:rsidR="00DE5D59" w:rsidRPr="00E05A25" w:rsidRDefault="00242032" w:rsidP="00DE5D59">
            <w:pPr>
              <w:tabs>
                <w:tab w:val="left" w:pos="884"/>
                <w:tab w:val="left" w:pos="1196"/>
              </w:tabs>
              <w:suppressAutoHyphens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ar-SA"/>
              </w:rPr>
            </w:pPr>
            <w:r w:rsidRPr="008E43D6">
              <w:rPr>
                <w:rFonts w:ascii="Times New Roman" w:eastAsiaTheme="minorEastAsia" w:hAnsi="Times New Roman" w:cs="Times New Roman"/>
                <w:sz w:val="24"/>
                <w:szCs w:val="24"/>
                <w:lang w:eastAsia="ar-SA"/>
              </w:rPr>
              <w:t>A se vedea sinteza obiecțiilor la proiect.</w:t>
            </w:r>
          </w:p>
        </w:tc>
      </w:tr>
    </w:tbl>
    <w:p w14:paraId="3268E3AA" w14:textId="757A5AAA" w:rsidR="00DE5D59" w:rsidRPr="00E05A25" w:rsidRDefault="00DE5D59" w:rsidP="009A341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14:paraId="7CF2CD11" w14:textId="77777777" w:rsidR="00DE5D59" w:rsidRPr="0063315D" w:rsidRDefault="00DE5D59" w:rsidP="00DE5D59">
      <w:pPr>
        <w:spacing w:after="0" w:line="360" w:lineRule="auto"/>
        <w:ind w:right="142" w:firstLine="567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63315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>Veaceslav UNTILA</w:t>
      </w:r>
    </w:p>
    <w:p w14:paraId="24DE9E53" w14:textId="71D7A25B" w:rsidR="00323DF6" w:rsidRPr="0063315D" w:rsidRDefault="00DE5D59" w:rsidP="00A1038E">
      <w:pPr>
        <w:spacing w:after="0" w:line="360" w:lineRule="auto"/>
        <w:ind w:right="142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</w:pPr>
      <w:r w:rsidRPr="0063315D">
        <w:rPr>
          <w:rFonts w:ascii="Times New Roman" w:eastAsia="Times New Roman" w:hAnsi="Times New Roman" w:cs="Times New Roman"/>
          <w:b/>
          <w:sz w:val="28"/>
          <w:szCs w:val="24"/>
          <w:lang w:eastAsia="ro-RO"/>
        </w:rPr>
        <w:t xml:space="preserve">          Director general</w:t>
      </w:r>
    </w:p>
    <w:sectPr w:rsidR="00323DF6" w:rsidRPr="0063315D" w:rsidSect="00127CD6">
      <w:pgSz w:w="11906" w:h="16838"/>
      <w:pgMar w:top="851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AFC"/>
      </v:shape>
    </w:pict>
  </w:numPicBullet>
  <w:abstractNum w:abstractNumId="0" w15:restartNumberingAfterBreak="0">
    <w:nsid w:val="00A72D9B"/>
    <w:multiLevelType w:val="hybridMultilevel"/>
    <w:tmpl w:val="CC7C5F12"/>
    <w:lvl w:ilvl="0" w:tplc="49B4CE4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9E1E9C"/>
    <w:multiLevelType w:val="hybridMultilevel"/>
    <w:tmpl w:val="E87A4B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93D31"/>
    <w:multiLevelType w:val="hybridMultilevel"/>
    <w:tmpl w:val="6C8837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A0900"/>
    <w:multiLevelType w:val="hybridMultilevel"/>
    <w:tmpl w:val="70143998"/>
    <w:lvl w:ilvl="0" w:tplc="A68002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9357E"/>
    <w:multiLevelType w:val="hybridMultilevel"/>
    <w:tmpl w:val="D32CCA80"/>
    <w:lvl w:ilvl="0" w:tplc="464672B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5" w15:restartNumberingAfterBreak="0">
    <w:nsid w:val="070E6536"/>
    <w:multiLevelType w:val="hybridMultilevel"/>
    <w:tmpl w:val="A462DE4C"/>
    <w:lvl w:ilvl="0" w:tplc="A9A0D3B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F5882AC6">
      <w:start w:val="1"/>
      <w:numFmt w:val="lowerLetter"/>
      <w:lvlText w:val="%2)"/>
      <w:lvlJc w:val="left"/>
      <w:pPr>
        <w:ind w:left="563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6355" w:hanging="180"/>
      </w:pPr>
    </w:lvl>
    <w:lvl w:ilvl="3" w:tplc="0419000F">
      <w:start w:val="1"/>
      <w:numFmt w:val="decimal"/>
      <w:lvlText w:val="%4."/>
      <w:lvlJc w:val="left"/>
      <w:pPr>
        <w:ind w:left="7075" w:hanging="360"/>
      </w:pPr>
    </w:lvl>
    <w:lvl w:ilvl="4" w:tplc="04190019" w:tentative="1">
      <w:start w:val="1"/>
      <w:numFmt w:val="lowerLetter"/>
      <w:lvlText w:val="%5."/>
      <w:lvlJc w:val="left"/>
      <w:pPr>
        <w:ind w:left="7795" w:hanging="360"/>
      </w:pPr>
    </w:lvl>
    <w:lvl w:ilvl="5" w:tplc="0419001B" w:tentative="1">
      <w:start w:val="1"/>
      <w:numFmt w:val="lowerRoman"/>
      <w:lvlText w:val="%6."/>
      <w:lvlJc w:val="right"/>
      <w:pPr>
        <w:ind w:left="8515" w:hanging="180"/>
      </w:pPr>
    </w:lvl>
    <w:lvl w:ilvl="6" w:tplc="0419000F" w:tentative="1">
      <w:start w:val="1"/>
      <w:numFmt w:val="decimal"/>
      <w:lvlText w:val="%7."/>
      <w:lvlJc w:val="left"/>
      <w:pPr>
        <w:ind w:left="9235" w:hanging="360"/>
      </w:pPr>
    </w:lvl>
    <w:lvl w:ilvl="7" w:tplc="04190019" w:tentative="1">
      <w:start w:val="1"/>
      <w:numFmt w:val="lowerLetter"/>
      <w:lvlText w:val="%8."/>
      <w:lvlJc w:val="left"/>
      <w:pPr>
        <w:ind w:left="9955" w:hanging="360"/>
      </w:pPr>
    </w:lvl>
    <w:lvl w:ilvl="8" w:tplc="0419001B" w:tentative="1">
      <w:start w:val="1"/>
      <w:numFmt w:val="lowerRoman"/>
      <w:lvlText w:val="%9."/>
      <w:lvlJc w:val="right"/>
      <w:pPr>
        <w:ind w:left="10675" w:hanging="180"/>
      </w:pPr>
    </w:lvl>
  </w:abstractNum>
  <w:abstractNum w:abstractNumId="6" w15:restartNumberingAfterBreak="0">
    <w:nsid w:val="0922000A"/>
    <w:multiLevelType w:val="multilevel"/>
    <w:tmpl w:val="35CAE5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B0E4D0C"/>
    <w:multiLevelType w:val="hybridMultilevel"/>
    <w:tmpl w:val="E84E911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779FD"/>
    <w:multiLevelType w:val="multilevel"/>
    <w:tmpl w:val="44E4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4E33B9"/>
    <w:multiLevelType w:val="hybridMultilevel"/>
    <w:tmpl w:val="57084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76230"/>
    <w:multiLevelType w:val="hybridMultilevel"/>
    <w:tmpl w:val="EEAA8E78"/>
    <w:lvl w:ilvl="0" w:tplc="254880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5F6CDC"/>
    <w:multiLevelType w:val="hybridMultilevel"/>
    <w:tmpl w:val="21646550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E5909"/>
    <w:multiLevelType w:val="hybridMultilevel"/>
    <w:tmpl w:val="D584E37C"/>
    <w:lvl w:ilvl="0" w:tplc="957414F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7D202A"/>
    <w:multiLevelType w:val="hybridMultilevel"/>
    <w:tmpl w:val="FA72A4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A1C9F"/>
    <w:multiLevelType w:val="hybridMultilevel"/>
    <w:tmpl w:val="4FA62836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774C"/>
    <w:multiLevelType w:val="hybridMultilevel"/>
    <w:tmpl w:val="1C7073F0"/>
    <w:lvl w:ilvl="0" w:tplc="ABC656E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8EB8BF0E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302" w:hanging="180"/>
      </w:pPr>
    </w:lvl>
    <w:lvl w:ilvl="3" w:tplc="0418000F" w:tentative="1">
      <w:start w:val="1"/>
      <w:numFmt w:val="decimal"/>
      <w:lvlText w:val="%4."/>
      <w:lvlJc w:val="left"/>
      <w:pPr>
        <w:ind w:left="3022" w:hanging="360"/>
      </w:pPr>
    </w:lvl>
    <w:lvl w:ilvl="4" w:tplc="04180019" w:tentative="1">
      <w:start w:val="1"/>
      <w:numFmt w:val="lowerLetter"/>
      <w:lvlText w:val="%5."/>
      <w:lvlJc w:val="left"/>
      <w:pPr>
        <w:ind w:left="3742" w:hanging="360"/>
      </w:pPr>
    </w:lvl>
    <w:lvl w:ilvl="5" w:tplc="0418001B" w:tentative="1">
      <w:start w:val="1"/>
      <w:numFmt w:val="lowerRoman"/>
      <w:lvlText w:val="%6."/>
      <w:lvlJc w:val="right"/>
      <w:pPr>
        <w:ind w:left="4462" w:hanging="180"/>
      </w:pPr>
    </w:lvl>
    <w:lvl w:ilvl="6" w:tplc="0418000F" w:tentative="1">
      <w:start w:val="1"/>
      <w:numFmt w:val="decimal"/>
      <w:lvlText w:val="%7."/>
      <w:lvlJc w:val="left"/>
      <w:pPr>
        <w:ind w:left="5182" w:hanging="360"/>
      </w:pPr>
    </w:lvl>
    <w:lvl w:ilvl="7" w:tplc="04180019" w:tentative="1">
      <w:start w:val="1"/>
      <w:numFmt w:val="lowerLetter"/>
      <w:lvlText w:val="%8."/>
      <w:lvlJc w:val="left"/>
      <w:pPr>
        <w:ind w:left="5902" w:hanging="360"/>
      </w:pPr>
    </w:lvl>
    <w:lvl w:ilvl="8" w:tplc="041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9F65D83"/>
    <w:multiLevelType w:val="multilevel"/>
    <w:tmpl w:val="6316B71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A592E5F"/>
    <w:multiLevelType w:val="hybridMultilevel"/>
    <w:tmpl w:val="74DA533C"/>
    <w:lvl w:ilvl="0" w:tplc="1070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BA1C55"/>
    <w:multiLevelType w:val="hybridMultilevel"/>
    <w:tmpl w:val="402085B8"/>
    <w:lvl w:ilvl="0" w:tplc="0819000F">
      <w:start w:val="1"/>
      <w:numFmt w:val="decimal"/>
      <w:lvlText w:val="%1."/>
      <w:lvlJc w:val="left"/>
      <w:pPr>
        <w:ind w:left="720" w:hanging="360"/>
      </w:p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80707"/>
    <w:multiLevelType w:val="hybridMultilevel"/>
    <w:tmpl w:val="A75013A8"/>
    <w:lvl w:ilvl="0" w:tplc="107004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800F6A"/>
    <w:multiLevelType w:val="hybridMultilevel"/>
    <w:tmpl w:val="D84A0EC6"/>
    <w:lvl w:ilvl="0" w:tplc="396E9654">
      <w:start w:val="1"/>
      <w:numFmt w:val="decimal"/>
      <w:lvlText w:val="%1."/>
      <w:lvlJc w:val="left"/>
      <w:pPr>
        <w:ind w:left="720" w:hanging="360"/>
      </w:pPr>
      <w:rPr>
        <w:lang w:val="ro-R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906E1"/>
    <w:multiLevelType w:val="hybridMultilevel"/>
    <w:tmpl w:val="40902A3E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E188B"/>
    <w:multiLevelType w:val="multilevel"/>
    <w:tmpl w:val="75C21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DA7D64"/>
    <w:multiLevelType w:val="hybridMultilevel"/>
    <w:tmpl w:val="8B22394C"/>
    <w:lvl w:ilvl="0" w:tplc="464672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DD7838"/>
    <w:multiLevelType w:val="hybridMultilevel"/>
    <w:tmpl w:val="F65E1966"/>
    <w:lvl w:ilvl="0" w:tplc="37B6C8F4">
      <w:start w:val="2"/>
      <w:numFmt w:val="bullet"/>
      <w:lvlText w:val="-"/>
      <w:lvlJc w:val="left"/>
      <w:pPr>
        <w:ind w:left="95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25" w15:restartNumberingAfterBreak="0">
    <w:nsid w:val="468F1D8A"/>
    <w:multiLevelType w:val="hybridMultilevel"/>
    <w:tmpl w:val="EB06C658"/>
    <w:lvl w:ilvl="0" w:tplc="464672BE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4A932378"/>
    <w:multiLevelType w:val="multilevel"/>
    <w:tmpl w:val="DF3C7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2196236"/>
    <w:multiLevelType w:val="hybridMultilevel"/>
    <w:tmpl w:val="0FF23422"/>
    <w:lvl w:ilvl="0" w:tplc="107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A6343"/>
    <w:multiLevelType w:val="hybridMultilevel"/>
    <w:tmpl w:val="AB8A7D7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80019" w:tentative="1">
      <w:start w:val="1"/>
      <w:numFmt w:val="lowerLetter"/>
      <w:lvlText w:val="%2."/>
      <w:lvlJc w:val="left"/>
      <w:pPr>
        <w:ind w:left="1866" w:hanging="360"/>
      </w:pPr>
    </w:lvl>
    <w:lvl w:ilvl="2" w:tplc="0418001B" w:tentative="1">
      <w:start w:val="1"/>
      <w:numFmt w:val="lowerRoman"/>
      <w:lvlText w:val="%3."/>
      <w:lvlJc w:val="right"/>
      <w:pPr>
        <w:ind w:left="2586" w:hanging="180"/>
      </w:pPr>
    </w:lvl>
    <w:lvl w:ilvl="3" w:tplc="0418000F" w:tentative="1">
      <w:start w:val="1"/>
      <w:numFmt w:val="decimal"/>
      <w:lvlText w:val="%4."/>
      <w:lvlJc w:val="left"/>
      <w:pPr>
        <w:ind w:left="3306" w:hanging="360"/>
      </w:pPr>
    </w:lvl>
    <w:lvl w:ilvl="4" w:tplc="04180019" w:tentative="1">
      <w:start w:val="1"/>
      <w:numFmt w:val="lowerLetter"/>
      <w:lvlText w:val="%5."/>
      <w:lvlJc w:val="left"/>
      <w:pPr>
        <w:ind w:left="4026" w:hanging="360"/>
      </w:pPr>
    </w:lvl>
    <w:lvl w:ilvl="5" w:tplc="0418001B" w:tentative="1">
      <w:start w:val="1"/>
      <w:numFmt w:val="lowerRoman"/>
      <w:lvlText w:val="%6."/>
      <w:lvlJc w:val="right"/>
      <w:pPr>
        <w:ind w:left="4746" w:hanging="180"/>
      </w:pPr>
    </w:lvl>
    <w:lvl w:ilvl="6" w:tplc="0418000F" w:tentative="1">
      <w:start w:val="1"/>
      <w:numFmt w:val="decimal"/>
      <w:lvlText w:val="%7."/>
      <w:lvlJc w:val="left"/>
      <w:pPr>
        <w:ind w:left="5466" w:hanging="360"/>
      </w:pPr>
    </w:lvl>
    <w:lvl w:ilvl="7" w:tplc="04180019" w:tentative="1">
      <w:start w:val="1"/>
      <w:numFmt w:val="lowerLetter"/>
      <w:lvlText w:val="%8."/>
      <w:lvlJc w:val="left"/>
      <w:pPr>
        <w:ind w:left="6186" w:hanging="360"/>
      </w:pPr>
    </w:lvl>
    <w:lvl w:ilvl="8" w:tplc="041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065A9F"/>
    <w:multiLevelType w:val="hybridMultilevel"/>
    <w:tmpl w:val="823A55E8"/>
    <w:lvl w:ilvl="0" w:tplc="10700454">
      <w:start w:val="1"/>
      <w:numFmt w:val="bullet"/>
      <w:lvlText w:val=""/>
      <w:lvlJc w:val="left"/>
      <w:pPr>
        <w:ind w:left="84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0" w15:restartNumberingAfterBreak="0">
    <w:nsid w:val="57A357B9"/>
    <w:multiLevelType w:val="hybridMultilevel"/>
    <w:tmpl w:val="97F4EF3E"/>
    <w:lvl w:ilvl="0" w:tplc="8B2226AA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ADB3A72"/>
    <w:multiLevelType w:val="hybridMultilevel"/>
    <w:tmpl w:val="973A06D6"/>
    <w:lvl w:ilvl="0" w:tplc="ECDEA1E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B314D"/>
    <w:multiLevelType w:val="hybridMultilevel"/>
    <w:tmpl w:val="2A686006"/>
    <w:lvl w:ilvl="0" w:tplc="464672BE">
      <w:start w:val="1"/>
      <w:numFmt w:val="bullet"/>
      <w:lvlText w:val="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3" w15:restartNumberingAfterBreak="0">
    <w:nsid w:val="5E0078AE"/>
    <w:multiLevelType w:val="hybridMultilevel"/>
    <w:tmpl w:val="613A4E44"/>
    <w:lvl w:ilvl="0" w:tplc="4B3A4F8E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3855D5"/>
    <w:multiLevelType w:val="hybridMultilevel"/>
    <w:tmpl w:val="2E6E99D6"/>
    <w:lvl w:ilvl="0" w:tplc="464672B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5" w15:restartNumberingAfterBreak="0">
    <w:nsid w:val="66E52ECB"/>
    <w:multiLevelType w:val="hybridMultilevel"/>
    <w:tmpl w:val="B502B7FA"/>
    <w:lvl w:ilvl="0" w:tplc="C916E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A951241"/>
    <w:multiLevelType w:val="hybridMultilevel"/>
    <w:tmpl w:val="D2D49630"/>
    <w:lvl w:ilvl="0" w:tplc="04190011">
      <w:start w:val="1"/>
      <w:numFmt w:val="decimal"/>
      <w:lvlText w:val="%1)"/>
      <w:lvlJc w:val="left"/>
      <w:pPr>
        <w:ind w:left="12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8" w15:restartNumberingAfterBreak="0">
    <w:nsid w:val="6D791515"/>
    <w:multiLevelType w:val="hybridMultilevel"/>
    <w:tmpl w:val="812E5A06"/>
    <w:lvl w:ilvl="0" w:tplc="9D6CBDCA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0" w:hanging="360"/>
      </w:pPr>
    </w:lvl>
    <w:lvl w:ilvl="2" w:tplc="0418001B" w:tentative="1">
      <w:start w:val="1"/>
      <w:numFmt w:val="lowerRoman"/>
      <w:lvlText w:val="%3."/>
      <w:lvlJc w:val="right"/>
      <w:pPr>
        <w:ind w:left="2260" w:hanging="180"/>
      </w:pPr>
    </w:lvl>
    <w:lvl w:ilvl="3" w:tplc="0418000F" w:tentative="1">
      <w:start w:val="1"/>
      <w:numFmt w:val="decimal"/>
      <w:lvlText w:val="%4."/>
      <w:lvlJc w:val="left"/>
      <w:pPr>
        <w:ind w:left="2980" w:hanging="360"/>
      </w:pPr>
    </w:lvl>
    <w:lvl w:ilvl="4" w:tplc="04180019" w:tentative="1">
      <w:start w:val="1"/>
      <w:numFmt w:val="lowerLetter"/>
      <w:lvlText w:val="%5."/>
      <w:lvlJc w:val="left"/>
      <w:pPr>
        <w:ind w:left="3700" w:hanging="360"/>
      </w:pPr>
    </w:lvl>
    <w:lvl w:ilvl="5" w:tplc="0418001B" w:tentative="1">
      <w:start w:val="1"/>
      <w:numFmt w:val="lowerRoman"/>
      <w:lvlText w:val="%6."/>
      <w:lvlJc w:val="right"/>
      <w:pPr>
        <w:ind w:left="4420" w:hanging="180"/>
      </w:pPr>
    </w:lvl>
    <w:lvl w:ilvl="6" w:tplc="0418000F" w:tentative="1">
      <w:start w:val="1"/>
      <w:numFmt w:val="decimal"/>
      <w:lvlText w:val="%7."/>
      <w:lvlJc w:val="left"/>
      <w:pPr>
        <w:ind w:left="5140" w:hanging="360"/>
      </w:pPr>
    </w:lvl>
    <w:lvl w:ilvl="7" w:tplc="04180019" w:tentative="1">
      <w:start w:val="1"/>
      <w:numFmt w:val="lowerLetter"/>
      <w:lvlText w:val="%8."/>
      <w:lvlJc w:val="left"/>
      <w:pPr>
        <w:ind w:left="5860" w:hanging="360"/>
      </w:pPr>
    </w:lvl>
    <w:lvl w:ilvl="8" w:tplc="0418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EB609FD"/>
    <w:multiLevelType w:val="hybridMultilevel"/>
    <w:tmpl w:val="D4DCA1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F927495"/>
    <w:multiLevelType w:val="hybridMultilevel"/>
    <w:tmpl w:val="9A0AF6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505335"/>
    <w:multiLevelType w:val="hybridMultilevel"/>
    <w:tmpl w:val="B0A07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6B5CEC"/>
    <w:multiLevelType w:val="hybridMultilevel"/>
    <w:tmpl w:val="776C04D4"/>
    <w:lvl w:ilvl="0" w:tplc="E19CCA82">
      <w:start w:val="1"/>
      <w:numFmt w:val="decimal"/>
      <w:lvlText w:val="%1)"/>
      <w:lvlJc w:val="left"/>
      <w:pPr>
        <w:ind w:left="1305" w:hanging="94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3237B"/>
    <w:multiLevelType w:val="hybridMultilevel"/>
    <w:tmpl w:val="CD886F48"/>
    <w:lvl w:ilvl="0" w:tplc="827E8CC4">
      <w:start w:val="1"/>
      <w:numFmt w:val="decimal"/>
      <w:lvlText w:val="(%1)"/>
      <w:lvlJc w:val="left"/>
      <w:pPr>
        <w:ind w:left="1527" w:hanging="9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950C6A"/>
    <w:multiLevelType w:val="hybridMultilevel"/>
    <w:tmpl w:val="AAD08560"/>
    <w:lvl w:ilvl="0" w:tplc="4CF849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D2A55"/>
    <w:multiLevelType w:val="hybridMultilevel"/>
    <w:tmpl w:val="6192869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3"/>
  </w:num>
  <w:num w:numId="2">
    <w:abstractNumId w:val="17"/>
  </w:num>
  <w:num w:numId="3">
    <w:abstractNumId w:val="20"/>
  </w:num>
  <w:num w:numId="4">
    <w:abstractNumId w:val="39"/>
  </w:num>
  <w:num w:numId="5">
    <w:abstractNumId w:val="29"/>
  </w:num>
  <w:num w:numId="6">
    <w:abstractNumId w:val="0"/>
  </w:num>
  <w:num w:numId="7">
    <w:abstractNumId w:val="3"/>
  </w:num>
  <w:num w:numId="8">
    <w:abstractNumId w:val="14"/>
  </w:num>
  <w:num w:numId="9">
    <w:abstractNumId w:val="40"/>
  </w:num>
  <w:num w:numId="10">
    <w:abstractNumId w:val="10"/>
  </w:num>
  <w:num w:numId="11">
    <w:abstractNumId w:val="27"/>
  </w:num>
  <w:num w:numId="12">
    <w:abstractNumId w:val="2"/>
  </w:num>
  <w:num w:numId="13">
    <w:abstractNumId w:val="12"/>
  </w:num>
  <w:num w:numId="14">
    <w:abstractNumId w:val="1"/>
  </w:num>
  <w:num w:numId="15">
    <w:abstractNumId w:val="30"/>
  </w:num>
  <w:num w:numId="16">
    <w:abstractNumId w:val="36"/>
  </w:num>
  <w:num w:numId="17">
    <w:abstractNumId w:val="35"/>
  </w:num>
  <w:num w:numId="18">
    <w:abstractNumId w:val="7"/>
  </w:num>
  <w:num w:numId="19">
    <w:abstractNumId w:val="42"/>
  </w:num>
  <w:num w:numId="20">
    <w:abstractNumId w:val="31"/>
  </w:num>
  <w:num w:numId="21">
    <w:abstractNumId w:val="15"/>
  </w:num>
  <w:num w:numId="22">
    <w:abstractNumId w:val="28"/>
  </w:num>
  <w:num w:numId="23">
    <w:abstractNumId w:val="26"/>
  </w:num>
  <w:num w:numId="24">
    <w:abstractNumId w:val="45"/>
  </w:num>
  <w:num w:numId="25">
    <w:abstractNumId w:val="6"/>
  </w:num>
  <w:num w:numId="26">
    <w:abstractNumId w:val="19"/>
  </w:num>
  <w:num w:numId="27">
    <w:abstractNumId w:val="21"/>
  </w:num>
  <w:num w:numId="28">
    <w:abstractNumId w:val="41"/>
  </w:num>
  <w:num w:numId="29">
    <w:abstractNumId w:val="16"/>
  </w:num>
  <w:num w:numId="30">
    <w:abstractNumId w:val="23"/>
  </w:num>
  <w:num w:numId="31">
    <w:abstractNumId w:val="13"/>
  </w:num>
  <w:num w:numId="32">
    <w:abstractNumId w:val="18"/>
  </w:num>
  <w:num w:numId="33">
    <w:abstractNumId w:val="33"/>
  </w:num>
  <w:num w:numId="34">
    <w:abstractNumId w:val="9"/>
  </w:num>
  <w:num w:numId="35">
    <w:abstractNumId w:val="44"/>
  </w:num>
  <w:num w:numId="36">
    <w:abstractNumId w:val="5"/>
  </w:num>
  <w:num w:numId="37">
    <w:abstractNumId w:val="4"/>
  </w:num>
  <w:num w:numId="38">
    <w:abstractNumId w:val="37"/>
  </w:num>
  <w:num w:numId="39">
    <w:abstractNumId w:val="38"/>
  </w:num>
  <w:num w:numId="40">
    <w:abstractNumId w:val="11"/>
  </w:num>
  <w:num w:numId="41">
    <w:abstractNumId w:val="24"/>
  </w:num>
  <w:num w:numId="42">
    <w:abstractNumId w:val="8"/>
  </w:num>
  <w:num w:numId="43">
    <w:abstractNumId w:val="22"/>
  </w:num>
  <w:num w:numId="44">
    <w:abstractNumId w:val="34"/>
  </w:num>
  <w:num w:numId="45">
    <w:abstractNumId w:val="25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584"/>
    <w:rsid w:val="000113FF"/>
    <w:rsid w:val="0002190C"/>
    <w:rsid w:val="00025288"/>
    <w:rsid w:val="000323E2"/>
    <w:rsid w:val="0003362B"/>
    <w:rsid w:val="00034C40"/>
    <w:rsid w:val="00037162"/>
    <w:rsid w:val="00037F87"/>
    <w:rsid w:val="00040805"/>
    <w:rsid w:val="00051F54"/>
    <w:rsid w:val="00053AD0"/>
    <w:rsid w:val="00055EC0"/>
    <w:rsid w:val="00073E82"/>
    <w:rsid w:val="00095E92"/>
    <w:rsid w:val="0009662A"/>
    <w:rsid w:val="00096E76"/>
    <w:rsid w:val="000A1455"/>
    <w:rsid w:val="000A22F1"/>
    <w:rsid w:val="000A656E"/>
    <w:rsid w:val="000B7B96"/>
    <w:rsid w:val="000C1945"/>
    <w:rsid w:val="000C71CA"/>
    <w:rsid w:val="000C7250"/>
    <w:rsid w:val="000D1D16"/>
    <w:rsid w:val="000D2505"/>
    <w:rsid w:val="000D39F4"/>
    <w:rsid w:val="000E369C"/>
    <w:rsid w:val="000F44EC"/>
    <w:rsid w:val="0010145C"/>
    <w:rsid w:val="001031C1"/>
    <w:rsid w:val="001128E1"/>
    <w:rsid w:val="00115AB0"/>
    <w:rsid w:val="00122AA7"/>
    <w:rsid w:val="00126EFD"/>
    <w:rsid w:val="00127CD6"/>
    <w:rsid w:val="001318AE"/>
    <w:rsid w:val="00132D16"/>
    <w:rsid w:val="0013724A"/>
    <w:rsid w:val="00137BAC"/>
    <w:rsid w:val="00152D07"/>
    <w:rsid w:val="001618EC"/>
    <w:rsid w:val="001646B3"/>
    <w:rsid w:val="00165A07"/>
    <w:rsid w:val="00171B75"/>
    <w:rsid w:val="001937E1"/>
    <w:rsid w:val="00194203"/>
    <w:rsid w:val="001A110C"/>
    <w:rsid w:val="001A6F9D"/>
    <w:rsid w:val="001B2780"/>
    <w:rsid w:val="001C2367"/>
    <w:rsid w:val="001C6C94"/>
    <w:rsid w:val="001D0685"/>
    <w:rsid w:val="001D2F0C"/>
    <w:rsid w:val="001D7AA6"/>
    <w:rsid w:val="00200B94"/>
    <w:rsid w:val="0020113C"/>
    <w:rsid w:val="00206FB7"/>
    <w:rsid w:val="0021006D"/>
    <w:rsid w:val="00212A28"/>
    <w:rsid w:val="00223F95"/>
    <w:rsid w:val="00224236"/>
    <w:rsid w:val="00242032"/>
    <w:rsid w:val="0024313F"/>
    <w:rsid w:val="00245413"/>
    <w:rsid w:val="00247B51"/>
    <w:rsid w:val="002534F0"/>
    <w:rsid w:val="0025690E"/>
    <w:rsid w:val="00263DD4"/>
    <w:rsid w:val="00266278"/>
    <w:rsid w:val="00275D3C"/>
    <w:rsid w:val="0028244A"/>
    <w:rsid w:val="002829EC"/>
    <w:rsid w:val="00283921"/>
    <w:rsid w:val="00283F8A"/>
    <w:rsid w:val="002A341E"/>
    <w:rsid w:val="002B1E76"/>
    <w:rsid w:val="002B404A"/>
    <w:rsid w:val="002C1F79"/>
    <w:rsid w:val="002C3264"/>
    <w:rsid w:val="002C569A"/>
    <w:rsid w:val="002D23AF"/>
    <w:rsid w:val="002E1AEF"/>
    <w:rsid w:val="002E4E4B"/>
    <w:rsid w:val="0030078A"/>
    <w:rsid w:val="00306E1B"/>
    <w:rsid w:val="00316E29"/>
    <w:rsid w:val="0031750F"/>
    <w:rsid w:val="00317D0A"/>
    <w:rsid w:val="00322F67"/>
    <w:rsid w:val="00323DF6"/>
    <w:rsid w:val="003316F9"/>
    <w:rsid w:val="00346163"/>
    <w:rsid w:val="003461C9"/>
    <w:rsid w:val="0034733A"/>
    <w:rsid w:val="00353109"/>
    <w:rsid w:val="00355A88"/>
    <w:rsid w:val="00375407"/>
    <w:rsid w:val="0038757F"/>
    <w:rsid w:val="003A3E20"/>
    <w:rsid w:val="003A50DC"/>
    <w:rsid w:val="003A65D5"/>
    <w:rsid w:val="003A743F"/>
    <w:rsid w:val="003C5B5D"/>
    <w:rsid w:val="003D4193"/>
    <w:rsid w:val="003E03A9"/>
    <w:rsid w:val="003E1CA1"/>
    <w:rsid w:val="003E5D13"/>
    <w:rsid w:val="003F41D5"/>
    <w:rsid w:val="003F78A7"/>
    <w:rsid w:val="004307C3"/>
    <w:rsid w:val="00431AE3"/>
    <w:rsid w:val="004324C0"/>
    <w:rsid w:val="00436879"/>
    <w:rsid w:val="00445EE3"/>
    <w:rsid w:val="004552F6"/>
    <w:rsid w:val="00462B9D"/>
    <w:rsid w:val="00482462"/>
    <w:rsid w:val="004840DC"/>
    <w:rsid w:val="00484476"/>
    <w:rsid w:val="00494EB6"/>
    <w:rsid w:val="0049618A"/>
    <w:rsid w:val="004979EF"/>
    <w:rsid w:val="004A2D20"/>
    <w:rsid w:val="004B2834"/>
    <w:rsid w:val="004C0B1E"/>
    <w:rsid w:val="004C3E9A"/>
    <w:rsid w:val="004D11F8"/>
    <w:rsid w:val="004E1B70"/>
    <w:rsid w:val="004E3F11"/>
    <w:rsid w:val="004E710E"/>
    <w:rsid w:val="004F463D"/>
    <w:rsid w:val="00523305"/>
    <w:rsid w:val="00535824"/>
    <w:rsid w:val="00535DEE"/>
    <w:rsid w:val="00537511"/>
    <w:rsid w:val="00541802"/>
    <w:rsid w:val="00560A2F"/>
    <w:rsid w:val="00567294"/>
    <w:rsid w:val="00573176"/>
    <w:rsid w:val="00576033"/>
    <w:rsid w:val="005821BE"/>
    <w:rsid w:val="005A02A2"/>
    <w:rsid w:val="005A1260"/>
    <w:rsid w:val="005A335A"/>
    <w:rsid w:val="005A378C"/>
    <w:rsid w:val="005A4DAB"/>
    <w:rsid w:val="005B2E1F"/>
    <w:rsid w:val="005B41DB"/>
    <w:rsid w:val="005B508B"/>
    <w:rsid w:val="005B5369"/>
    <w:rsid w:val="005C6A65"/>
    <w:rsid w:val="005D0B92"/>
    <w:rsid w:val="005E118A"/>
    <w:rsid w:val="005E6F1C"/>
    <w:rsid w:val="005E78A7"/>
    <w:rsid w:val="005F5CA0"/>
    <w:rsid w:val="00610AE0"/>
    <w:rsid w:val="00617584"/>
    <w:rsid w:val="006213DF"/>
    <w:rsid w:val="00621B8B"/>
    <w:rsid w:val="0062362C"/>
    <w:rsid w:val="00626B7E"/>
    <w:rsid w:val="0063315D"/>
    <w:rsid w:val="006400EA"/>
    <w:rsid w:val="006436CA"/>
    <w:rsid w:val="00643D7B"/>
    <w:rsid w:val="00654F32"/>
    <w:rsid w:val="0066678F"/>
    <w:rsid w:val="006717CE"/>
    <w:rsid w:val="00673461"/>
    <w:rsid w:val="00683CF5"/>
    <w:rsid w:val="006864A8"/>
    <w:rsid w:val="00690763"/>
    <w:rsid w:val="00690C2E"/>
    <w:rsid w:val="0069154B"/>
    <w:rsid w:val="006932A7"/>
    <w:rsid w:val="006A00CA"/>
    <w:rsid w:val="006B0C37"/>
    <w:rsid w:val="006B1E38"/>
    <w:rsid w:val="006B474D"/>
    <w:rsid w:val="006B47BC"/>
    <w:rsid w:val="006C69AD"/>
    <w:rsid w:val="006D08C2"/>
    <w:rsid w:val="006E0C41"/>
    <w:rsid w:val="006E26DF"/>
    <w:rsid w:val="006E2FC1"/>
    <w:rsid w:val="006E5947"/>
    <w:rsid w:val="006E768B"/>
    <w:rsid w:val="006F3DF6"/>
    <w:rsid w:val="00701B61"/>
    <w:rsid w:val="007021AD"/>
    <w:rsid w:val="00703532"/>
    <w:rsid w:val="00703CF5"/>
    <w:rsid w:val="00703DE4"/>
    <w:rsid w:val="007068DD"/>
    <w:rsid w:val="00710E4A"/>
    <w:rsid w:val="00711D8E"/>
    <w:rsid w:val="00751DA5"/>
    <w:rsid w:val="00753DCB"/>
    <w:rsid w:val="0076285C"/>
    <w:rsid w:val="00767F1D"/>
    <w:rsid w:val="007745B7"/>
    <w:rsid w:val="0078797F"/>
    <w:rsid w:val="0079022D"/>
    <w:rsid w:val="00793E18"/>
    <w:rsid w:val="007A114E"/>
    <w:rsid w:val="007A39B0"/>
    <w:rsid w:val="007A3FCD"/>
    <w:rsid w:val="007B0D7D"/>
    <w:rsid w:val="007B43EA"/>
    <w:rsid w:val="007B6A36"/>
    <w:rsid w:val="007B6D52"/>
    <w:rsid w:val="007C434B"/>
    <w:rsid w:val="007C5D23"/>
    <w:rsid w:val="007D14E8"/>
    <w:rsid w:val="007D3683"/>
    <w:rsid w:val="007F328E"/>
    <w:rsid w:val="007F5C99"/>
    <w:rsid w:val="0080007E"/>
    <w:rsid w:val="00800419"/>
    <w:rsid w:val="008066BF"/>
    <w:rsid w:val="00815FC8"/>
    <w:rsid w:val="00823B96"/>
    <w:rsid w:val="00832717"/>
    <w:rsid w:val="00847332"/>
    <w:rsid w:val="008564AF"/>
    <w:rsid w:val="00867158"/>
    <w:rsid w:val="008840D1"/>
    <w:rsid w:val="0089360B"/>
    <w:rsid w:val="008A0280"/>
    <w:rsid w:val="008A2A25"/>
    <w:rsid w:val="008A6ABA"/>
    <w:rsid w:val="008B7619"/>
    <w:rsid w:val="008C26B6"/>
    <w:rsid w:val="008C2CC8"/>
    <w:rsid w:val="008C32A3"/>
    <w:rsid w:val="008E2AE4"/>
    <w:rsid w:val="008E43D6"/>
    <w:rsid w:val="008E6BBA"/>
    <w:rsid w:val="008F2A66"/>
    <w:rsid w:val="008F7E48"/>
    <w:rsid w:val="009022F2"/>
    <w:rsid w:val="00913FC1"/>
    <w:rsid w:val="00916950"/>
    <w:rsid w:val="00920CC2"/>
    <w:rsid w:val="00927642"/>
    <w:rsid w:val="00947A3A"/>
    <w:rsid w:val="00957380"/>
    <w:rsid w:val="00962EB1"/>
    <w:rsid w:val="009656A1"/>
    <w:rsid w:val="009675A9"/>
    <w:rsid w:val="00970E5D"/>
    <w:rsid w:val="00973F65"/>
    <w:rsid w:val="009779FC"/>
    <w:rsid w:val="00982222"/>
    <w:rsid w:val="009937BC"/>
    <w:rsid w:val="0099474F"/>
    <w:rsid w:val="009A341C"/>
    <w:rsid w:val="009B55F6"/>
    <w:rsid w:val="009D0293"/>
    <w:rsid w:val="009D11AA"/>
    <w:rsid w:val="009E10D3"/>
    <w:rsid w:val="009F18A2"/>
    <w:rsid w:val="009F3875"/>
    <w:rsid w:val="009F592D"/>
    <w:rsid w:val="009F7508"/>
    <w:rsid w:val="00A01B81"/>
    <w:rsid w:val="00A054DF"/>
    <w:rsid w:val="00A0745B"/>
    <w:rsid w:val="00A1011A"/>
    <w:rsid w:val="00A1038E"/>
    <w:rsid w:val="00A2664A"/>
    <w:rsid w:val="00A26ABB"/>
    <w:rsid w:val="00A341AD"/>
    <w:rsid w:val="00A563CA"/>
    <w:rsid w:val="00A57233"/>
    <w:rsid w:val="00A7419B"/>
    <w:rsid w:val="00A756E7"/>
    <w:rsid w:val="00A91ACB"/>
    <w:rsid w:val="00A9721E"/>
    <w:rsid w:val="00A9749B"/>
    <w:rsid w:val="00A97708"/>
    <w:rsid w:val="00AA0216"/>
    <w:rsid w:val="00AA2A7F"/>
    <w:rsid w:val="00AB23B3"/>
    <w:rsid w:val="00AC0940"/>
    <w:rsid w:val="00AC1105"/>
    <w:rsid w:val="00AC1141"/>
    <w:rsid w:val="00AD174E"/>
    <w:rsid w:val="00AD4407"/>
    <w:rsid w:val="00AD4B76"/>
    <w:rsid w:val="00AD4F63"/>
    <w:rsid w:val="00AD6682"/>
    <w:rsid w:val="00AD709E"/>
    <w:rsid w:val="00AE112C"/>
    <w:rsid w:val="00AE38C4"/>
    <w:rsid w:val="00AE5356"/>
    <w:rsid w:val="00AE6001"/>
    <w:rsid w:val="00AE7312"/>
    <w:rsid w:val="00B074E1"/>
    <w:rsid w:val="00B303B3"/>
    <w:rsid w:val="00B33439"/>
    <w:rsid w:val="00B340BB"/>
    <w:rsid w:val="00B400AC"/>
    <w:rsid w:val="00B4682D"/>
    <w:rsid w:val="00B63965"/>
    <w:rsid w:val="00B763B4"/>
    <w:rsid w:val="00B91939"/>
    <w:rsid w:val="00B961EF"/>
    <w:rsid w:val="00BA5109"/>
    <w:rsid w:val="00BB2C5F"/>
    <w:rsid w:val="00BB33BF"/>
    <w:rsid w:val="00BB3948"/>
    <w:rsid w:val="00BC0DF3"/>
    <w:rsid w:val="00BC2266"/>
    <w:rsid w:val="00BD57C5"/>
    <w:rsid w:val="00BE37CC"/>
    <w:rsid w:val="00BF3C88"/>
    <w:rsid w:val="00C13DE9"/>
    <w:rsid w:val="00C16645"/>
    <w:rsid w:val="00C172EF"/>
    <w:rsid w:val="00C2109E"/>
    <w:rsid w:val="00C21FF4"/>
    <w:rsid w:val="00C34DAC"/>
    <w:rsid w:val="00C44BA6"/>
    <w:rsid w:val="00C45078"/>
    <w:rsid w:val="00C478FE"/>
    <w:rsid w:val="00C47A4A"/>
    <w:rsid w:val="00C50F2E"/>
    <w:rsid w:val="00C550D2"/>
    <w:rsid w:val="00C61D70"/>
    <w:rsid w:val="00C70816"/>
    <w:rsid w:val="00C774C9"/>
    <w:rsid w:val="00C838E8"/>
    <w:rsid w:val="00C8721E"/>
    <w:rsid w:val="00C9092F"/>
    <w:rsid w:val="00C9282F"/>
    <w:rsid w:val="00C93AE4"/>
    <w:rsid w:val="00CA004C"/>
    <w:rsid w:val="00CA343A"/>
    <w:rsid w:val="00CA3BEF"/>
    <w:rsid w:val="00CA4750"/>
    <w:rsid w:val="00CA4772"/>
    <w:rsid w:val="00CB1517"/>
    <w:rsid w:val="00CB430E"/>
    <w:rsid w:val="00CB75A2"/>
    <w:rsid w:val="00CC1393"/>
    <w:rsid w:val="00CC384A"/>
    <w:rsid w:val="00CD4F6E"/>
    <w:rsid w:val="00CE4F8A"/>
    <w:rsid w:val="00CE6127"/>
    <w:rsid w:val="00CF6196"/>
    <w:rsid w:val="00D14736"/>
    <w:rsid w:val="00D15846"/>
    <w:rsid w:val="00D16D06"/>
    <w:rsid w:val="00D27C31"/>
    <w:rsid w:val="00D465AE"/>
    <w:rsid w:val="00D47219"/>
    <w:rsid w:val="00D551F3"/>
    <w:rsid w:val="00D60BC1"/>
    <w:rsid w:val="00D63156"/>
    <w:rsid w:val="00D656D9"/>
    <w:rsid w:val="00D67599"/>
    <w:rsid w:val="00D6769E"/>
    <w:rsid w:val="00D71188"/>
    <w:rsid w:val="00D77CAE"/>
    <w:rsid w:val="00D81C0B"/>
    <w:rsid w:val="00D91B25"/>
    <w:rsid w:val="00DA29F6"/>
    <w:rsid w:val="00DA4625"/>
    <w:rsid w:val="00DC0992"/>
    <w:rsid w:val="00DD3E4F"/>
    <w:rsid w:val="00DE5D59"/>
    <w:rsid w:val="00DE7DD6"/>
    <w:rsid w:val="00DF2FFB"/>
    <w:rsid w:val="00E02427"/>
    <w:rsid w:val="00E05A25"/>
    <w:rsid w:val="00E16114"/>
    <w:rsid w:val="00E178DB"/>
    <w:rsid w:val="00E22D05"/>
    <w:rsid w:val="00E27D83"/>
    <w:rsid w:val="00E418FE"/>
    <w:rsid w:val="00E43AB6"/>
    <w:rsid w:val="00E4465C"/>
    <w:rsid w:val="00E52A5D"/>
    <w:rsid w:val="00E53805"/>
    <w:rsid w:val="00E8353B"/>
    <w:rsid w:val="00E84044"/>
    <w:rsid w:val="00E85AF0"/>
    <w:rsid w:val="00E93558"/>
    <w:rsid w:val="00EB5EFA"/>
    <w:rsid w:val="00EC2042"/>
    <w:rsid w:val="00EC30E2"/>
    <w:rsid w:val="00EC795C"/>
    <w:rsid w:val="00ED11B5"/>
    <w:rsid w:val="00ED5512"/>
    <w:rsid w:val="00ED792A"/>
    <w:rsid w:val="00EE4CD2"/>
    <w:rsid w:val="00F12A49"/>
    <w:rsid w:val="00F15514"/>
    <w:rsid w:val="00F25D7E"/>
    <w:rsid w:val="00F3262A"/>
    <w:rsid w:val="00F449A6"/>
    <w:rsid w:val="00F44EAB"/>
    <w:rsid w:val="00F56BE2"/>
    <w:rsid w:val="00F570DA"/>
    <w:rsid w:val="00F627CD"/>
    <w:rsid w:val="00F73A4A"/>
    <w:rsid w:val="00F77353"/>
    <w:rsid w:val="00F80B0D"/>
    <w:rsid w:val="00F90516"/>
    <w:rsid w:val="00F916D0"/>
    <w:rsid w:val="00F97587"/>
    <w:rsid w:val="00FA12B2"/>
    <w:rsid w:val="00FA66B1"/>
    <w:rsid w:val="00FB3A4E"/>
    <w:rsid w:val="00FB5DA8"/>
    <w:rsid w:val="00FC1B4D"/>
    <w:rsid w:val="00FC57C0"/>
    <w:rsid w:val="00FD20F8"/>
    <w:rsid w:val="00FD2BF0"/>
    <w:rsid w:val="00FD6188"/>
    <w:rsid w:val="00FD64CC"/>
    <w:rsid w:val="00FE4828"/>
    <w:rsid w:val="00FF0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9928"/>
  <w15:docId w15:val="{E3750235-A157-4F19-A027-DF2C7CB5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3F65"/>
    <w:pPr>
      <w:ind w:left="720"/>
      <w:contextualSpacing/>
    </w:pPr>
  </w:style>
  <w:style w:type="paragraph" w:customStyle="1" w:styleId="def">
    <w:name w:val="def"/>
    <w:basedOn w:val="Normal"/>
    <w:rsid w:val="006E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Spacing">
    <w:name w:val="No Spacing"/>
    <w:uiPriority w:val="1"/>
    <w:qFormat/>
    <w:rsid w:val="006E2F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FB3A4E"/>
    <w:pPr>
      <w:widowControl w:val="0"/>
      <w:autoSpaceDE w:val="0"/>
      <w:autoSpaceDN w:val="0"/>
      <w:adjustRightInd w:val="0"/>
      <w:spacing w:after="0" w:line="41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12">
    <w:name w:val="Font Style12"/>
    <w:uiPriority w:val="99"/>
    <w:rsid w:val="00FB3A4E"/>
    <w:rPr>
      <w:rFonts w:ascii="Times New Roman" w:hAnsi="Times New Roman" w:cs="Times New Roman"/>
      <w:sz w:val="24"/>
      <w:szCs w:val="24"/>
    </w:rPr>
  </w:style>
  <w:style w:type="paragraph" w:customStyle="1" w:styleId="BodyText1">
    <w:name w:val="Body Text 1"/>
    <w:basedOn w:val="BodyText"/>
    <w:rsid w:val="00FB3A4E"/>
    <w:pPr>
      <w:tabs>
        <w:tab w:val="right" w:pos="-2127"/>
      </w:tabs>
      <w:suppressAutoHyphens/>
      <w:autoSpaceDE w:val="0"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FB3A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3A4E"/>
  </w:style>
  <w:style w:type="character" w:customStyle="1" w:styleId="ListParagraphChar">
    <w:name w:val="List Paragraph Char"/>
    <w:link w:val="ListParagraph"/>
    <w:uiPriority w:val="34"/>
    <w:locked/>
    <w:rsid w:val="003E5D13"/>
  </w:style>
  <w:style w:type="paragraph" w:styleId="NormalWeb">
    <w:name w:val="Normal (Web)"/>
    <w:aliases w:val="Знак,webb, Знак"/>
    <w:basedOn w:val="Normal"/>
    <w:next w:val="Normal"/>
    <w:link w:val="NormalWebChar"/>
    <w:uiPriority w:val="99"/>
    <w:qFormat/>
    <w:rsid w:val="00263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ormalWebChar">
    <w:name w:val="Normal (Web) Char"/>
    <w:aliases w:val="Знак Char,webb Char, Знак Char"/>
    <w:link w:val="NormalWeb"/>
    <w:uiPriority w:val="99"/>
    <w:rsid w:val="00053A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orfulList-Accent11">
    <w:name w:val="Colorful List - Accent 11"/>
    <w:basedOn w:val="Normal"/>
    <w:link w:val="ColorfulList-Accent1Char"/>
    <w:qFormat/>
    <w:rsid w:val="00E16114"/>
    <w:pPr>
      <w:ind w:left="720" w:firstLine="547"/>
      <w:contextualSpacing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ColorfulList-Accent1Char">
    <w:name w:val="Colorful List - Accent 1 Char"/>
    <w:link w:val="ColorfulList-Accent11"/>
    <w:locked/>
    <w:rsid w:val="00E16114"/>
    <w:rPr>
      <w:rFonts w:ascii="Calibri" w:eastAsia="Calibri" w:hAnsi="Calibri" w:cs="Times New Roman"/>
      <w:sz w:val="20"/>
      <w:szCs w:val="20"/>
      <w:lang w:eastAsia="x-none"/>
    </w:rPr>
  </w:style>
  <w:style w:type="paragraph" w:customStyle="1" w:styleId="MediumGrid21">
    <w:name w:val="Medium Grid 21"/>
    <w:uiPriority w:val="1"/>
    <w:qFormat/>
    <w:rsid w:val="00E16114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Stratulat</dc:creator>
  <cp:lastModifiedBy>Elena Stratulat</cp:lastModifiedBy>
  <cp:revision>49</cp:revision>
  <cp:lastPrinted>2019-07-08T07:31:00Z</cp:lastPrinted>
  <dcterms:created xsi:type="dcterms:W3CDTF">2018-08-31T08:54:00Z</dcterms:created>
  <dcterms:modified xsi:type="dcterms:W3CDTF">2019-10-28T11:12:00Z</dcterms:modified>
</cp:coreProperties>
</file>